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17D86C" w14:textId="77777777" w:rsidR="000177FD" w:rsidRDefault="00205012">
      <w:pPr>
        <w:spacing w:line="1325" w:lineRule="exact"/>
        <w:ind w:left="112"/>
        <w:jc w:val="both"/>
        <w:rPr>
          <w:rFonts w:ascii="Arial" w:eastAsia="Arial" w:hAnsi="Arial" w:cs="Arial"/>
          <w:sz w:val="121"/>
          <w:szCs w:val="121"/>
        </w:rPr>
      </w:pPr>
      <w:r>
        <w:rPr>
          <w:rFonts w:ascii="Arial"/>
          <w:b/>
          <w:color w:val="548CD3"/>
          <w:spacing w:val="-50"/>
          <w:sz w:val="121"/>
        </w:rPr>
        <w:t>u</w:t>
      </w:r>
      <w:r>
        <w:rPr>
          <w:rFonts w:ascii="Arial"/>
          <w:b/>
          <w:color w:val="548CD3"/>
          <w:spacing w:val="-52"/>
          <w:sz w:val="121"/>
        </w:rPr>
        <w:t>s</w:t>
      </w:r>
      <w:r>
        <w:rPr>
          <w:rFonts w:ascii="Arial"/>
          <w:b/>
          <w:color w:val="548CD3"/>
          <w:spacing w:val="-49"/>
          <w:sz w:val="121"/>
        </w:rPr>
        <w:t>i</w:t>
      </w:r>
      <w:r>
        <w:rPr>
          <w:rFonts w:ascii="Arial"/>
          <w:b/>
          <w:color w:val="548CD3"/>
          <w:spacing w:val="-50"/>
          <w:sz w:val="121"/>
        </w:rPr>
        <w:t>c</w:t>
      </w:r>
      <w:r>
        <w:rPr>
          <w:rFonts w:ascii="Arial"/>
          <w:b/>
          <w:color w:val="548CD3"/>
          <w:spacing w:val="-51"/>
          <w:sz w:val="121"/>
        </w:rPr>
        <w:t>i</w:t>
      </w:r>
      <w:r>
        <w:rPr>
          <w:rFonts w:ascii="Arial"/>
          <w:b/>
          <w:color w:val="548CD3"/>
          <w:spacing w:val="-52"/>
          <w:sz w:val="121"/>
        </w:rPr>
        <w:t>v</w:t>
      </w:r>
      <w:r>
        <w:rPr>
          <w:rFonts w:ascii="Arial"/>
          <w:b/>
          <w:color w:val="548CD3"/>
          <w:spacing w:val="-49"/>
          <w:sz w:val="121"/>
        </w:rPr>
        <w:t>i</w:t>
      </w:r>
      <w:r>
        <w:rPr>
          <w:rFonts w:ascii="Arial"/>
          <w:b/>
          <w:color w:val="548CD3"/>
          <w:spacing w:val="-52"/>
          <w:sz w:val="121"/>
        </w:rPr>
        <w:t>c</w:t>
      </w:r>
      <w:r>
        <w:rPr>
          <w:rFonts w:ascii="Arial"/>
          <w:b/>
          <w:color w:val="548CD3"/>
          <w:sz w:val="121"/>
        </w:rPr>
        <w:t>i</w:t>
      </w:r>
    </w:p>
    <w:p w14:paraId="73D6A855" w14:textId="77777777" w:rsidR="000177FD" w:rsidRDefault="00205012">
      <w:pPr>
        <w:spacing w:before="80" w:line="462" w:lineRule="auto"/>
        <w:ind w:left="112" w:right="1611"/>
        <w:rPr>
          <w:rFonts w:ascii="Arial" w:eastAsia="Arial" w:hAnsi="Arial" w:cs="Arial"/>
          <w:sz w:val="25"/>
          <w:szCs w:val="25"/>
        </w:rPr>
      </w:pPr>
      <w:r>
        <w:rPr>
          <w:rFonts w:ascii="Arial" w:hAnsi="Arial"/>
          <w:color w:val="548CD3"/>
          <w:sz w:val="25"/>
        </w:rPr>
        <w:t>beni</w:t>
      </w:r>
      <w:r>
        <w:rPr>
          <w:rFonts w:ascii="Arial" w:hAnsi="Arial"/>
          <w:color w:val="548CD3"/>
          <w:spacing w:val="-9"/>
          <w:sz w:val="25"/>
        </w:rPr>
        <w:t xml:space="preserve"> </w:t>
      </w:r>
      <w:r>
        <w:rPr>
          <w:rFonts w:ascii="Arial" w:hAnsi="Arial"/>
          <w:color w:val="548CD3"/>
          <w:sz w:val="25"/>
        </w:rPr>
        <w:t>comuni,</w:t>
      </w:r>
      <w:r>
        <w:rPr>
          <w:rFonts w:ascii="Arial" w:hAnsi="Arial"/>
          <w:color w:val="548CD3"/>
          <w:spacing w:val="-8"/>
          <w:sz w:val="25"/>
        </w:rPr>
        <w:t xml:space="preserve"> </w:t>
      </w:r>
      <w:r>
        <w:rPr>
          <w:rFonts w:ascii="Arial" w:hAnsi="Arial"/>
          <w:color w:val="548CD3"/>
          <w:spacing w:val="-1"/>
          <w:sz w:val="25"/>
        </w:rPr>
        <w:t>proprietà</w:t>
      </w:r>
      <w:r>
        <w:rPr>
          <w:rFonts w:ascii="Arial" w:hAnsi="Arial"/>
          <w:color w:val="548CD3"/>
          <w:spacing w:val="-8"/>
          <w:sz w:val="25"/>
        </w:rPr>
        <w:t xml:space="preserve"> </w:t>
      </w:r>
      <w:r>
        <w:rPr>
          <w:rFonts w:ascii="Arial" w:hAnsi="Arial"/>
          <w:color w:val="548CD3"/>
          <w:spacing w:val="-1"/>
          <w:sz w:val="25"/>
        </w:rPr>
        <w:t>collettive</w:t>
      </w:r>
      <w:r>
        <w:rPr>
          <w:rFonts w:ascii="Arial" w:hAnsi="Arial"/>
          <w:color w:val="548CD3"/>
          <w:spacing w:val="-8"/>
          <w:sz w:val="25"/>
        </w:rPr>
        <w:t xml:space="preserve"> </w:t>
      </w:r>
      <w:r>
        <w:rPr>
          <w:rFonts w:ascii="Arial" w:hAnsi="Arial"/>
          <w:color w:val="548CD3"/>
          <w:sz w:val="25"/>
        </w:rPr>
        <w:t>e</w:t>
      </w:r>
      <w:r>
        <w:rPr>
          <w:rFonts w:ascii="Arial" w:hAnsi="Arial"/>
          <w:color w:val="548CD3"/>
          <w:spacing w:val="-9"/>
          <w:sz w:val="25"/>
        </w:rPr>
        <w:t xml:space="preserve"> </w:t>
      </w:r>
      <w:r>
        <w:rPr>
          <w:rFonts w:ascii="Arial" w:hAnsi="Arial"/>
          <w:color w:val="548CD3"/>
          <w:sz w:val="25"/>
        </w:rPr>
        <w:t>diritto</w:t>
      </w:r>
      <w:r>
        <w:rPr>
          <w:rFonts w:ascii="Arial" w:hAnsi="Arial"/>
          <w:color w:val="548CD3"/>
          <w:spacing w:val="-8"/>
          <w:sz w:val="25"/>
        </w:rPr>
        <w:t xml:space="preserve"> </w:t>
      </w:r>
      <w:r>
        <w:rPr>
          <w:rFonts w:ascii="Arial" w:hAnsi="Arial"/>
          <w:color w:val="548CD3"/>
          <w:sz w:val="25"/>
        </w:rPr>
        <w:t>demaniale</w:t>
      </w:r>
      <w:r>
        <w:rPr>
          <w:rFonts w:ascii="Arial" w:hAnsi="Arial"/>
          <w:color w:val="548CD3"/>
          <w:spacing w:val="31"/>
          <w:w w:val="99"/>
          <w:sz w:val="25"/>
        </w:rPr>
        <w:t xml:space="preserve"> </w:t>
      </w:r>
      <w:r>
        <w:rPr>
          <w:rFonts w:ascii="Arial" w:hAnsi="Arial"/>
          <w:color w:val="548CD3"/>
          <w:spacing w:val="-1"/>
          <w:sz w:val="25"/>
        </w:rPr>
        <w:t>usicivici.wordpress.com</w:t>
      </w:r>
    </w:p>
    <w:p w14:paraId="0D04C3E3" w14:textId="77777777" w:rsidR="000177FD" w:rsidRDefault="000177FD">
      <w:pPr>
        <w:spacing w:before="7" w:line="240" w:lineRule="exact"/>
        <w:rPr>
          <w:sz w:val="24"/>
          <w:szCs w:val="24"/>
        </w:rPr>
      </w:pPr>
    </w:p>
    <w:p w14:paraId="0ADB8A73" w14:textId="77777777" w:rsidR="000177FD" w:rsidRDefault="006012C5">
      <w:pPr>
        <w:ind w:left="112"/>
        <w:jc w:val="both"/>
        <w:rPr>
          <w:rFonts w:ascii="Arial" w:eastAsia="Arial" w:hAnsi="Arial" w:cs="Arial"/>
          <w:b/>
          <w:bCs/>
          <w:color w:val="BF0000"/>
          <w:spacing w:val="-1"/>
          <w:sz w:val="24"/>
          <w:szCs w:val="24"/>
        </w:rPr>
      </w:pPr>
      <w:r>
        <w:rPr>
          <w:rFonts w:ascii="Arial" w:eastAsia="Arial" w:hAnsi="Arial" w:cs="Arial"/>
          <w:b/>
          <w:bCs/>
          <w:color w:val="BF0000"/>
          <w:spacing w:val="-1"/>
          <w:sz w:val="24"/>
          <w:szCs w:val="24"/>
        </w:rPr>
        <w:t>Giurisprudenza</w:t>
      </w:r>
    </w:p>
    <w:p w14:paraId="235B0CFC" w14:textId="77777777" w:rsidR="006012C5" w:rsidRDefault="006012C5">
      <w:pPr>
        <w:ind w:left="112"/>
        <w:jc w:val="both"/>
        <w:rPr>
          <w:rFonts w:ascii="Arial" w:eastAsia="Arial" w:hAnsi="Arial" w:cs="Arial"/>
          <w:b/>
          <w:bCs/>
          <w:color w:val="BF0000"/>
          <w:spacing w:val="-1"/>
          <w:sz w:val="24"/>
          <w:szCs w:val="24"/>
        </w:rPr>
      </w:pPr>
    </w:p>
    <w:p w14:paraId="770DE3A7" w14:textId="77777777" w:rsidR="006012C5" w:rsidRDefault="00D30254">
      <w:pPr>
        <w:ind w:left="112"/>
        <w:jc w:val="both"/>
        <w:rPr>
          <w:rFonts w:ascii="Arial" w:eastAsia="Arial" w:hAnsi="Arial" w:cs="Arial"/>
          <w:b/>
          <w:bCs/>
          <w:color w:val="BF0000"/>
          <w:spacing w:val="-1"/>
          <w:sz w:val="24"/>
          <w:szCs w:val="24"/>
        </w:rPr>
      </w:pPr>
      <w:proofErr w:type="spellStart"/>
      <w:r w:rsidRPr="00D30254">
        <w:rPr>
          <w:rFonts w:ascii="Arial" w:eastAsia="Arial" w:hAnsi="Arial" w:cs="Arial"/>
          <w:b/>
          <w:bCs/>
          <w:color w:val="BF0000"/>
          <w:spacing w:val="-1"/>
          <w:sz w:val="24"/>
          <w:szCs w:val="24"/>
        </w:rPr>
        <w:t>Cass</w:t>
      </w:r>
      <w:proofErr w:type="spellEnd"/>
      <w:r w:rsidRPr="00D30254">
        <w:rPr>
          <w:rFonts w:ascii="Arial" w:eastAsia="Arial" w:hAnsi="Arial" w:cs="Arial"/>
          <w:b/>
          <w:bCs/>
          <w:color w:val="BF0000"/>
          <w:spacing w:val="-1"/>
          <w:sz w:val="24"/>
          <w:szCs w:val="24"/>
        </w:rPr>
        <w:t xml:space="preserve">. civ. Sez. II, </w:t>
      </w:r>
      <w:proofErr w:type="spellStart"/>
      <w:r w:rsidRPr="00D30254">
        <w:rPr>
          <w:rFonts w:ascii="Arial" w:eastAsia="Arial" w:hAnsi="Arial" w:cs="Arial"/>
          <w:b/>
          <w:bCs/>
          <w:color w:val="BF0000"/>
          <w:spacing w:val="-1"/>
          <w:sz w:val="24"/>
          <w:szCs w:val="24"/>
        </w:rPr>
        <w:t>Sent</w:t>
      </w:r>
      <w:proofErr w:type="spellEnd"/>
      <w:r w:rsidRPr="00D30254">
        <w:rPr>
          <w:rFonts w:ascii="Arial" w:eastAsia="Arial" w:hAnsi="Arial" w:cs="Arial"/>
          <w:b/>
          <w:bCs/>
          <w:color w:val="BF0000"/>
          <w:spacing w:val="-1"/>
          <w:sz w:val="24"/>
          <w:szCs w:val="24"/>
        </w:rPr>
        <w:t>., 16-01-2014, n. 812</w:t>
      </w:r>
    </w:p>
    <w:p w14:paraId="6AE38224" w14:textId="77777777" w:rsidR="00D30254" w:rsidRDefault="00D30254" w:rsidP="00D30254">
      <w:pPr>
        <w:ind w:left="112"/>
        <w:jc w:val="both"/>
        <w:rPr>
          <w:rFonts w:ascii="Arial" w:eastAsia="Arial" w:hAnsi="Arial" w:cs="Arial"/>
          <w:b/>
          <w:bCs/>
          <w:color w:val="BF0000"/>
          <w:spacing w:val="-1"/>
          <w:sz w:val="24"/>
          <w:szCs w:val="24"/>
        </w:rPr>
      </w:pPr>
    </w:p>
    <w:p w14:paraId="35047E50" w14:textId="77777777" w:rsidR="00D30254" w:rsidRPr="00D30254" w:rsidRDefault="00D30254" w:rsidP="00D30254">
      <w:pPr>
        <w:ind w:left="112"/>
        <w:jc w:val="both"/>
        <w:rPr>
          <w:rFonts w:ascii="Arial" w:eastAsia="Arial" w:hAnsi="Arial" w:cs="Arial"/>
          <w:bCs/>
          <w:spacing w:val="-1"/>
          <w:sz w:val="24"/>
          <w:szCs w:val="24"/>
        </w:rPr>
      </w:pPr>
      <w:r w:rsidRPr="00D30254">
        <w:rPr>
          <w:rFonts w:ascii="Arial" w:eastAsia="Arial" w:hAnsi="Arial" w:cs="Arial"/>
          <w:bCs/>
          <w:spacing w:val="-1"/>
          <w:sz w:val="24"/>
          <w:szCs w:val="24"/>
        </w:rPr>
        <w:t xml:space="preserve">S.p.a. ENEL Distribuzione - Società con socio unico soggetta a direzione e coordinamento di Enel </w:t>
      </w:r>
      <w:proofErr w:type="spellStart"/>
      <w:r w:rsidRPr="00D30254">
        <w:rPr>
          <w:rFonts w:ascii="Arial" w:eastAsia="Arial" w:hAnsi="Arial" w:cs="Arial"/>
          <w:bCs/>
          <w:spacing w:val="-1"/>
          <w:sz w:val="24"/>
          <w:szCs w:val="24"/>
        </w:rPr>
        <w:t>s.p.a.</w:t>
      </w:r>
      <w:proofErr w:type="spellEnd"/>
      <w:r w:rsidRPr="00D30254">
        <w:rPr>
          <w:rFonts w:ascii="Arial" w:eastAsia="Arial" w:hAnsi="Arial" w:cs="Arial"/>
          <w:bCs/>
          <w:spacing w:val="-1"/>
          <w:sz w:val="24"/>
          <w:szCs w:val="24"/>
        </w:rPr>
        <w:t xml:space="preserve"> C.F. (OMISSIS), in persona del suo procuratore, avv. L.R., giusta procura generale autenticata per atto Notaio Tozzi di Catanzaro in data 29.9.1999, rep. 31.287, </w:t>
      </w:r>
      <w:proofErr w:type="spellStart"/>
      <w:r w:rsidRPr="00D30254">
        <w:rPr>
          <w:rFonts w:ascii="Arial" w:eastAsia="Arial" w:hAnsi="Arial" w:cs="Arial"/>
          <w:bCs/>
          <w:spacing w:val="-1"/>
          <w:sz w:val="24"/>
          <w:szCs w:val="24"/>
        </w:rPr>
        <w:t>racc</w:t>
      </w:r>
      <w:proofErr w:type="spellEnd"/>
      <w:r w:rsidRPr="00D30254">
        <w:rPr>
          <w:rFonts w:ascii="Arial" w:eastAsia="Arial" w:hAnsi="Arial" w:cs="Arial"/>
          <w:bCs/>
          <w:spacing w:val="-1"/>
          <w:sz w:val="24"/>
          <w:szCs w:val="24"/>
        </w:rPr>
        <w:t>. 8.608, elettivamente domiciliato in ROMA, VIA FEDERICO CONFALONIERI 5, presso lo studio dell'avvocato MANZI Luigi, che lo rappresenta e difende unitamente all'avvocato LECCE REGINALDO;</w:t>
      </w:r>
    </w:p>
    <w:p w14:paraId="086E97CF" w14:textId="77777777" w:rsidR="00D30254" w:rsidRPr="00D30254" w:rsidRDefault="00D30254" w:rsidP="00D30254">
      <w:pPr>
        <w:ind w:left="112"/>
        <w:jc w:val="both"/>
        <w:rPr>
          <w:rFonts w:ascii="Arial" w:eastAsia="Arial" w:hAnsi="Arial" w:cs="Arial"/>
          <w:bCs/>
          <w:spacing w:val="-1"/>
          <w:sz w:val="24"/>
          <w:szCs w:val="24"/>
        </w:rPr>
      </w:pPr>
    </w:p>
    <w:p w14:paraId="15C2A463" w14:textId="77777777" w:rsidR="00D30254" w:rsidRPr="00D30254" w:rsidRDefault="00D30254" w:rsidP="00D30254">
      <w:pPr>
        <w:ind w:left="112"/>
        <w:jc w:val="both"/>
        <w:rPr>
          <w:rFonts w:ascii="Arial" w:eastAsia="Arial" w:hAnsi="Arial" w:cs="Arial"/>
          <w:bCs/>
          <w:spacing w:val="-1"/>
          <w:sz w:val="24"/>
          <w:szCs w:val="24"/>
        </w:rPr>
      </w:pPr>
      <w:r w:rsidRPr="00D30254">
        <w:rPr>
          <w:rFonts w:ascii="Arial" w:eastAsia="Arial" w:hAnsi="Arial" w:cs="Arial"/>
          <w:bCs/>
          <w:spacing w:val="-1"/>
          <w:sz w:val="24"/>
          <w:szCs w:val="24"/>
        </w:rPr>
        <w:t>- ricorrente -</w:t>
      </w:r>
    </w:p>
    <w:p w14:paraId="672928AE" w14:textId="77777777" w:rsidR="00D30254" w:rsidRPr="00D30254" w:rsidRDefault="00D30254" w:rsidP="00D30254">
      <w:pPr>
        <w:ind w:left="112"/>
        <w:jc w:val="both"/>
        <w:rPr>
          <w:rFonts w:ascii="Arial" w:eastAsia="Arial" w:hAnsi="Arial" w:cs="Arial"/>
          <w:bCs/>
          <w:spacing w:val="-1"/>
          <w:sz w:val="24"/>
          <w:szCs w:val="24"/>
        </w:rPr>
      </w:pPr>
    </w:p>
    <w:p w14:paraId="310A7653" w14:textId="77777777" w:rsidR="00D30254" w:rsidRPr="00D30254" w:rsidRDefault="00D30254" w:rsidP="00D30254">
      <w:pPr>
        <w:ind w:left="112"/>
        <w:jc w:val="both"/>
        <w:rPr>
          <w:rFonts w:ascii="Arial" w:eastAsia="Arial" w:hAnsi="Arial" w:cs="Arial"/>
          <w:bCs/>
          <w:spacing w:val="-1"/>
          <w:sz w:val="24"/>
          <w:szCs w:val="24"/>
        </w:rPr>
      </w:pPr>
      <w:r w:rsidRPr="00D30254">
        <w:rPr>
          <w:rFonts w:ascii="Arial" w:eastAsia="Arial" w:hAnsi="Arial" w:cs="Arial"/>
          <w:bCs/>
          <w:spacing w:val="-1"/>
          <w:sz w:val="24"/>
          <w:szCs w:val="24"/>
        </w:rPr>
        <w:t>contro</w:t>
      </w:r>
    </w:p>
    <w:p w14:paraId="796A2331" w14:textId="77777777" w:rsidR="00D30254" w:rsidRPr="00D30254" w:rsidRDefault="00D30254" w:rsidP="00D30254">
      <w:pPr>
        <w:ind w:left="112"/>
        <w:jc w:val="both"/>
        <w:rPr>
          <w:rFonts w:ascii="Arial" w:eastAsia="Arial" w:hAnsi="Arial" w:cs="Arial"/>
          <w:bCs/>
          <w:spacing w:val="-1"/>
          <w:sz w:val="24"/>
          <w:szCs w:val="24"/>
        </w:rPr>
      </w:pPr>
    </w:p>
    <w:p w14:paraId="77D51538" w14:textId="77777777" w:rsidR="00D30254" w:rsidRPr="00D30254" w:rsidRDefault="00D30254" w:rsidP="00D30254">
      <w:pPr>
        <w:ind w:left="112"/>
        <w:jc w:val="both"/>
        <w:rPr>
          <w:rFonts w:ascii="Arial" w:eastAsia="Arial" w:hAnsi="Arial" w:cs="Arial"/>
          <w:bCs/>
          <w:spacing w:val="-1"/>
          <w:sz w:val="24"/>
          <w:szCs w:val="24"/>
        </w:rPr>
      </w:pPr>
      <w:r w:rsidRPr="00D30254">
        <w:rPr>
          <w:rFonts w:ascii="Arial" w:eastAsia="Arial" w:hAnsi="Arial" w:cs="Arial"/>
          <w:bCs/>
          <w:spacing w:val="-1"/>
          <w:sz w:val="24"/>
          <w:szCs w:val="24"/>
        </w:rPr>
        <w:t>COMITATO REGIONALE LEGAMBIENTE CALABRIA (OMISSIS), in persona del legale rappresentante pro tempore, elettivamente domiciliato in ROMA, VIA GIOVANNI GENTILE 22, presso lo studio dell'avvocato BAFFA Costantino Francesco, che lo rappresenta e difende;</w:t>
      </w:r>
    </w:p>
    <w:p w14:paraId="449C0073" w14:textId="77777777" w:rsidR="00D30254" w:rsidRPr="00D30254" w:rsidRDefault="00D30254" w:rsidP="00D30254">
      <w:pPr>
        <w:ind w:left="112"/>
        <w:jc w:val="both"/>
        <w:rPr>
          <w:rFonts w:ascii="Arial" w:eastAsia="Arial" w:hAnsi="Arial" w:cs="Arial"/>
          <w:bCs/>
          <w:spacing w:val="-1"/>
          <w:sz w:val="24"/>
          <w:szCs w:val="24"/>
        </w:rPr>
      </w:pPr>
    </w:p>
    <w:p w14:paraId="2FCA2667" w14:textId="77777777" w:rsidR="00D30254" w:rsidRPr="00D30254" w:rsidRDefault="00D30254" w:rsidP="00D30254">
      <w:pPr>
        <w:ind w:left="112"/>
        <w:jc w:val="both"/>
        <w:rPr>
          <w:rFonts w:ascii="Arial" w:eastAsia="Arial" w:hAnsi="Arial" w:cs="Arial"/>
          <w:bCs/>
          <w:spacing w:val="-1"/>
          <w:sz w:val="24"/>
          <w:szCs w:val="24"/>
        </w:rPr>
      </w:pPr>
      <w:r w:rsidRPr="00D30254">
        <w:rPr>
          <w:rFonts w:ascii="Arial" w:eastAsia="Arial" w:hAnsi="Arial" w:cs="Arial"/>
          <w:bCs/>
          <w:spacing w:val="-1"/>
          <w:sz w:val="24"/>
          <w:szCs w:val="24"/>
        </w:rPr>
        <w:t>- controricorrente -</w:t>
      </w:r>
    </w:p>
    <w:p w14:paraId="79300319" w14:textId="77777777" w:rsidR="00D30254" w:rsidRPr="00D30254" w:rsidRDefault="00D30254" w:rsidP="00D30254">
      <w:pPr>
        <w:ind w:left="112"/>
        <w:jc w:val="both"/>
        <w:rPr>
          <w:rFonts w:ascii="Arial" w:eastAsia="Arial" w:hAnsi="Arial" w:cs="Arial"/>
          <w:bCs/>
          <w:spacing w:val="-1"/>
          <w:sz w:val="24"/>
          <w:szCs w:val="24"/>
        </w:rPr>
      </w:pPr>
    </w:p>
    <w:p w14:paraId="41F3D370" w14:textId="77777777" w:rsidR="00D30254" w:rsidRPr="00D30254" w:rsidRDefault="00D30254" w:rsidP="00D30254">
      <w:pPr>
        <w:ind w:left="112"/>
        <w:jc w:val="both"/>
        <w:rPr>
          <w:rFonts w:ascii="Arial" w:eastAsia="Arial" w:hAnsi="Arial" w:cs="Arial"/>
          <w:bCs/>
          <w:spacing w:val="-1"/>
          <w:sz w:val="24"/>
          <w:szCs w:val="24"/>
        </w:rPr>
      </w:pPr>
      <w:r w:rsidRPr="00D30254">
        <w:rPr>
          <w:rFonts w:ascii="Arial" w:eastAsia="Arial" w:hAnsi="Arial" w:cs="Arial"/>
          <w:bCs/>
          <w:spacing w:val="-1"/>
          <w:sz w:val="24"/>
          <w:szCs w:val="24"/>
        </w:rPr>
        <w:t>e contro</w:t>
      </w:r>
    </w:p>
    <w:p w14:paraId="4203452E" w14:textId="77777777" w:rsidR="00D30254" w:rsidRPr="00D30254" w:rsidRDefault="00D30254" w:rsidP="00D30254">
      <w:pPr>
        <w:ind w:left="112"/>
        <w:jc w:val="both"/>
        <w:rPr>
          <w:rFonts w:ascii="Arial" w:eastAsia="Arial" w:hAnsi="Arial" w:cs="Arial"/>
          <w:bCs/>
          <w:spacing w:val="-1"/>
          <w:sz w:val="24"/>
          <w:szCs w:val="24"/>
        </w:rPr>
      </w:pPr>
    </w:p>
    <w:p w14:paraId="1281D938" w14:textId="77777777" w:rsidR="00D30254" w:rsidRPr="00D30254" w:rsidRDefault="00D30254" w:rsidP="00D30254">
      <w:pPr>
        <w:ind w:left="112"/>
        <w:jc w:val="both"/>
        <w:rPr>
          <w:rFonts w:ascii="Arial" w:eastAsia="Arial" w:hAnsi="Arial" w:cs="Arial"/>
          <w:bCs/>
          <w:spacing w:val="-1"/>
          <w:sz w:val="24"/>
          <w:szCs w:val="24"/>
        </w:rPr>
      </w:pPr>
      <w:r w:rsidRPr="00D30254">
        <w:rPr>
          <w:rFonts w:ascii="Arial" w:eastAsia="Arial" w:hAnsi="Arial" w:cs="Arial"/>
          <w:bCs/>
          <w:spacing w:val="-1"/>
          <w:sz w:val="24"/>
          <w:szCs w:val="24"/>
        </w:rPr>
        <w:t>PROCURATORE GENERALE presso la CORTE di APPELLO di ROMA - SEZIONE SPECIALE USI CIVICI, COMUNE di SAN DEMETRIO CORONE, in persona del Sindaco pro tempore;</w:t>
      </w:r>
    </w:p>
    <w:p w14:paraId="1A76F537" w14:textId="77777777" w:rsidR="00D30254" w:rsidRPr="00D30254" w:rsidRDefault="00D30254" w:rsidP="00D30254">
      <w:pPr>
        <w:ind w:left="112"/>
        <w:jc w:val="both"/>
        <w:rPr>
          <w:rFonts w:ascii="Arial" w:eastAsia="Arial" w:hAnsi="Arial" w:cs="Arial"/>
          <w:bCs/>
          <w:spacing w:val="-1"/>
          <w:sz w:val="24"/>
          <w:szCs w:val="24"/>
        </w:rPr>
      </w:pPr>
    </w:p>
    <w:p w14:paraId="60A9F77A" w14:textId="77777777" w:rsidR="00D30254" w:rsidRPr="00D30254" w:rsidRDefault="00D30254" w:rsidP="00D30254">
      <w:pPr>
        <w:ind w:left="112"/>
        <w:jc w:val="both"/>
        <w:rPr>
          <w:rFonts w:ascii="Arial" w:eastAsia="Arial" w:hAnsi="Arial" w:cs="Arial"/>
          <w:bCs/>
          <w:spacing w:val="-1"/>
          <w:sz w:val="24"/>
          <w:szCs w:val="24"/>
        </w:rPr>
      </w:pPr>
      <w:r w:rsidRPr="00D30254">
        <w:rPr>
          <w:rFonts w:ascii="Arial" w:eastAsia="Arial" w:hAnsi="Arial" w:cs="Arial"/>
          <w:bCs/>
          <w:spacing w:val="-1"/>
          <w:sz w:val="24"/>
          <w:szCs w:val="24"/>
        </w:rPr>
        <w:t>- intimati -</w:t>
      </w:r>
    </w:p>
    <w:p w14:paraId="7387DB82" w14:textId="77777777" w:rsidR="00D30254" w:rsidRPr="00D30254" w:rsidRDefault="00D30254" w:rsidP="00D30254">
      <w:pPr>
        <w:ind w:left="112"/>
        <w:jc w:val="both"/>
        <w:rPr>
          <w:rFonts w:ascii="Arial" w:eastAsia="Arial" w:hAnsi="Arial" w:cs="Arial"/>
          <w:bCs/>
          <w:spacing w:val="-1"/>
          <w:sz w:val="24"/>
          <w:szCs w:val="24"/>
        </w:rPr>
      </w:pPr>
    </w:p>
    <w:p w14:paraId="3DFD0269" w14:textId="77777777" w:rsidR="00D30254" w:rsidRPr="00D30254" w:rsidRDefault="00D30254" w:rsidP="00D30254">
      <w:pPr>
        <w:ind w:left="112"/>
        <w:jc w:val="both"/>
        <w:rPr>
          <w:rFonts w:ascii="Arial" w:eastAsia="Arial" w:hAnsi="Arial" w:cs="Arial"/>
          <w:bCs/>
          <w:spacing w:val="-1"/>
          <w:sz w:val="24"/>
          <w:szCs w:val="24"/>
        </w:rPr>
      </w:pPr>
      <w:r w:rsidRPr="00D30254">
        <w:rPr>
          <w:rFonts w:ascii="Arial" w:eastAsia="Arial" w:hAnsi="Arial" w:cs="Arial"/>
          <w:bCs/>
          <w:spacing w:val="-1"/>
          <w:sz w:val="24"/>
          <w:szCs w:val="24"/>
        </w:rPr>
        <w:t>avverso la sentenza n. 12/2009 della CORTE D'APPELLO di ROMA, depositata il 11/06/2009;</w:t>
      </w:r>
    </w:p>
    <w:p w14:paraId="2E525D79" w14:textId="77777777" w:rsidR="00D30254" w:rsidRPr="00D30254" w:rsidRDefault="00D30254" w:rsidP="00D30254">
      <w:pPr>
        <w:ind w:left="112"/>
        <w:jc w:val="both"/>
        <w:rPr>
          <w:rFonts w:ascii="Arial" w:eastAsia="Arial" w:hAnsi="Arial" w:cs="Arial"/>
          <w:bCs/>
          <w:spacing w:val="-1"/>
          <w:sz w:val="24"/>
          <w:szCs w:val="24"/>
        </w:rPr>
      </w:pPr>
    </w:p>
    <w:p w14:paraId="28D8B0F1" w14:textId="77777777" w:rsidR="00D30254" w:rsidRPr="00D30254" w:rsidRDefault="00D30254" w:rsidP="00D30254">
      <w:pPr>
        <w:ind w:left="112"/>
        <w:jc w:val="both"/>
        <w:rPr>
          <w:rFonts w:ascii="Arial" w:eastAsia="Arial" w:hAnsi="Arial" w:cs="Arial"/>
          <w:bCs/>
          <w:spacing w:val="-1"/>
          <w:sz w:val="24"/>
          <w:szCs w:val="24"/>
        </w:rPr>
      </w:pPr>
      <w:r w:rsidRPr="00D30254">
        <w:rPr>
          <w:rFonts w:ascii="Arial" w:eastAsia="Arial" w:hAnsi="Arial" w:cs="Arial"/>
          <w:bCs/>
          <w:spacing w:val="-1"/>
          <w:sz w:val="24"/>
          <w:szCs w:val="24"/>
        </w:rPr>
        <w:t>udita la relazione della causa svolta nella pubblica udienza del 22/10/2013 dal Consigliere Dott. PASQUALE D'ASCOLA;</w:t>
      </w:r>
    </w:p>
    <w:p w14:paraId="1C08DA0E" w14:textId="77777777" w:rsidR="00D30254" w:rsidRPr="00D30254" w:rsidRDefault="00D30254" w:rsidP="00D30254">
      <w:pPr>
        <w:ind w:left="112"/>
        <w:jc w:val="both"/>
        <w:rPr>
          <w:rFonts w:ascii="Arial" w:eastAsia="Arial" w:hAnsi="Arial" w:cs="Arial"/>
          <w:bCs/>
          <w:spacing w:val="-1"/>
          <w:sz w:val="24"/>
          <w:szCs w:val="24"/>
        </w:rPr>
      </w:pPr>
    </w:p>
    <w:p w14:paraId="1AA21006" w14:textId="77777777" w:rsidR="00D30254" w:rsidRPr="00D30254" w:rsidRDefault="00D30254" w:rsidP="00D30254">
      <w:pPr>
        <w:ind w:left="112"/>
        <w:jc w:val="both"/>
        <w:rPr>
          <w:rFonts w:ascii="Arial" w:eastAsia="Arial" w:hAnsi="Arial" w:cs="Arial"/>
          <w:bCs/>
          <w:spacing w:val="-1"/>
          <w:sz w:val="24"/>
          <w:szCs w:val="24"/>
        </w:rPr>
      </w:pPr>
      <w:r w:rsidRPr="00D30254">
        <w:rPr>
          <w:rFonts w:ascii="Arial" w:eastAsia="Arial" w:hAnsi="Arial" w:cs="Arial"/>
          <w:bCs/>
          <w:spacing w:val="-1"/>
          <w:sz w:val="24"/>
          <w:szCs w:val="24"/>
        </w:rPr>
        <w:t>udito l'Avvocato SALVATORE DI MATTIA con delega dell'avvocato LUIGI MANZI di</w:t>
      </w:r>
      <w:r w:rsidR="006608F7">
        <w:rPr>
          <w:rFonts w:ascii="Arial" w:eastAsia="Arial" w:hAnsi="Arial" w:cs="Arial"/>
          <w:bCs/>
          <w:spacing w:val="-1"/>
          <w:sz w:val="24"/>
          <w:szCs w:val="24"/>
        </w:rPr>
        <w:t>fensore del ricorrente che si è</w:t>
      </w:r>
      <w:r w:rsidRPr="00D30254">
        <w:rPr>
          <w:rFonts w:ascii="Arial" w:eastAsia="Arial" w:hAnsi="Arial" w:cs="Arial"/>
          <w:bCs/>
          <w:spacing w:val="-1"/>
          <w:sz w:val="24"/>
          <w:szCs w:val="24"/>
        </w:rPr>
        <w:t xml:space="preserve"> riportato agli atti depositati e ne ha chiesto l'accoglimento.</w:t>
      </w:r>
    </w:p>
    <w:p w14:paraId="564D6DDA" w14:textId="77777777" w:rsidR="00D30254" w:rsidRPr="00D30254" w:rsidRDefault="00D30254" w:rsidP="00D30254">
      <w:pPr>
        <w:ind w:left="112"/>
        <w:jc w:val="both"/>
        <w:rPr>
          <w:rFonts w:ascii="Arial" w:eastAsia="Arial" w:hAnsi="Arial" w:cs="Arial"/>
          <w:bCs/>
          <w:spacing w:val="-1"/>
          <w:sz w:val="24"/>
          <w:szCs w:val="24"/>
        </w:rPr>
      </w:pPr>
    </w:p>
    <w:p w14:paraId="737C1C75" w14:textId="77777777" w:rsidR="00D30254" w:rsidRPr="00D30254" w:rsidRDefault="00D30254" w:rsidP="00D30254">
      <w:pPr>
        <w:ind w:left="112"/>
        <w:jc w:val="both"/>
        <w:rPr>
          <w:rFonts w:ascii="Arial" w:eastAsia="Arial" w:hAnsi="Arial" w:cs="Arial"/>
          <w:bCs/>
          <w:spacing w:val="-1"/>
          <w:sz w:val="24"/>
          <w:szCs w:val="24"/>
        </w:rPr>
      </w:pPr>
      <w:r w:rsidRPr="00D30254">
        <w:rPr>
          <w:rFonts w:ascii="Arial" w:eastAsia="Arial" w:hAnsi="Arial" w:cs="Arial"/>
          <w:bCs/>
          <w:spacing w:val="-1"/>
          <w:sz w:val="24"/>
          <w:szCs w:val="24"/>
        </w:rPr>
        <w:lastRenderedPageBreak/>
        <w:t>udito l'Avvocato COSTANTINO FRANCESCO BAFFA difensore del resistente che ha chiesto il rigetto del ricorso;</w:t>
      </w:r>
    </w:p>
    <w:p w14:paraId="7B5CB3A7" w14:textId="77777777" w:rsidR="00D30254" w:rsidRPr="00D30254" w:rsidRDefault="00D30254" w:rsidP="00D30254">
      <w:pPr>
        <w:ind w:left="112"/>
        <w:jc w:val="both"/>
        <w:rPr>
          <w:rFonts w:ascii="Arial" w:eastAsia="Arial" w:hAnsi="Arial" w:cs="Arial"/>
          <w:bCs/>
          <w:spacing w:val="-1"/>
          <w:sz w:val="24"/>
          <w:szCs w:val="24"/>
        </w:rPr>
      </w:pPr>
    </w:p>
    <w:p w14:paraId="2E651750" w14:textId="77777777" w:rsidR="00D30254" w:rsidRPr="00D30254" w:rsidRDefault="00D30254" w:rsidP="00D30254">
      <w:pPr>
        <w:ind w:left="112"/>
        <w:jc w:val="both"/>
        <w:rPr>
          <w:rFonts w:ascii="Arial" w:eastAsia="Arial" w:hAnsi="Arial" w:cs="Arial"/>
          <w:bCs/>
          <w:spacing w:val="-1"/>
          <w:sz w:val="24"/>
          <w:szCs w:val="24"/>
        </w:rPr>
      </w:pPr>
      <w:r w:rsidRPr="00D30254">
        <w:rPr>
          <w:rFonts w:ascii="Arial" w:eastAsia="Arial" w:hAnsi="Arial" w:cs="Arial"/>
          <w:bCs/>
          <w:spacing w:val="-1"/>
          <w:sz w:val="24"/>
          <w:szCs w:val="24"/>
        </w:rPr>
        <w:t>udito il P.M., in persona del Sostituto Procuratore Generale Dott. CAPASSO Lucio, che ha concluso per l'improcedibilità del ricorso, in subordine per il rigetto del ricorso.</w:t>
      </w:r>
    </w:p>
    <w:p w14:paraId="773C2576" w14:textId="77777777" w:rsidR="00D30254" w:rsidRPr="00D30254" w:rsidRDefault="00D30254" w:rsidP="00D30254">
      <w:pPr>
        <w:ind w:left="112"/>
        <w:jc w:val="both"/>
        <w:rPr>
          <w:rFonts w:ascii="Arial" w:eastAsia="Arial" w:hAnsi="Arial" w:cs="Arial"/>
          <w:bCs/>
          <w:spacing w:val="-1"/>
          <w:sz w:val="24"/>
          <w:szCs w:val="24"/>
        </w:rPr>
      </w:pPr>
    </w:p>
    <w:p w14:paraId="5976120F" w14:textId="77777777" w:rsidR="00D30254" w:rsidRPr="00D30254" w:rsidRDefault="00D30254" w:rsidP="00D30254">
      <w:pPr>
        <w:ind w:left="112"/>
        <w:jc w:val="both"/>
        <w:rPr>
          <w:rFonts w:ascii="Arial" w:eastAsia="Arial" w:hAnsi="Arial" w:cs="Arial"/>
          <w:bCs/>
          <w:spacing w:val="-1"/>
          <w:sz w:val="24"/>
          <w:szCs w:val="24"/>
        </w:rPr>
      </w:pPr>
      <w:r w:rsidRPr="00D30254">
        <w:rPr>
          <w:rFonts w:ascii="Arial" w:eastAsia="Arial" w:hAnsi="Arial" w:cs="Arial"/>
          <w:bCs/>
          <w:spacing w:val="-1"/>
          <w:sz w:val="24"/>
          <w:szCs w:val="24"/>
        </w:rPr>
        <w:t>Svolgimento del processo</w:t>
      </w:r>
    </w:p>
    <w:p w14:paraId="219F9C66" w14:textId="77777777" w:rsidR="00D30254" w:rsidRPr="00D30254" w:rsidRDefault="00D30254" w:rsidP="00D30254">
      <w:pPr>
        <w:ind w:left="112"/>
        <w:jc w:val="both"/>
        <w:rPr>
          <w:rFonts w:ascii="Arial" w:eastAsia="Arial" w:hAnsi="Arial" w:cs="Arial"/>
          <w:bCs/>
          <w:spacing w:val="-1"/>
          <w:sz w:val="24"/>
          <w:szCs w:val="24"/>
        </w:rPr>
      </w:pPr>
    </w:p>
    <w:p w14:paraId="033FAB75" w14:textId="77777777" w:rsidR="00D30254" w:rsidRPr="00D30254" w:rsidRDefault="00D30254" w:rsidP="00D30254">
      <w:pPr>
        <w:ind w:left="112"/>
        <w:jc w:val="both"/>
        <w:rPr>
          <w:rFonts w:ascii="Arial" w:eastAsia="Arial" w:hAnsi="Arial" w:cs="Arial"/>
          <w:bCs/>
          <w:spacing w:val="-1"/>
          <w:sz w:val="24"/>
          <w:szCs w:val="24"/>
        </w:rPr>
      </w:pPr>
      <w:r w:rsidRPr="00D30254">
        <w:rPr>
          <w:rFonts w:ascii="Arial" w:eastAsia="Arial" w:hAnsi="Arial" w:cs="Arial"/>
          <w:bCs/>
          <w:spacing w:val="-1"/>
          <w:sz w:val="24"/>
          <w:szCs w:val="24"/>
        </w:rPr>
        <w:t>1) Legambiente Calabria agiva davanti al Commissario Usi civici della Calabria nei confronti di Enel Distribuzione spa e del Comune di San Demetrio Corone, ottenendo la declaratoria di assoggettamento ad  usi  civici del fondo in Contrada Mezzana di Macchia del Comune, con conseguente ordine di demolire la cabina elettrica realizzata sui terreni grazie a concessione edilizia rilasciata dal Comune stesso.</w:t>
      </w:r>
    </w:p>
    <w:p w14:paraId="3CA15609" w14:textId="77777777" w:rsidR="00D30254" w:rsidRPr="00D30254" w:rsidRDefault="00D30254" w:rsidP="00D30254">
      <w:pPr>
        <w:ind w:left="112"/>
        <w:jc w:val="both"/>
        <w:rPr>
          <w:rFonts w:ascii="Arial" w:eastAsia="Arial" w:hAnsi="Arial" w:cs="Arial"/>
          <w:bCs/>
          <w:spacing w:val="-1"/>
          <w:sz w:val="24"/>
          <w:szCs w:val="24"/>
        </w:rPr>
      </w:pPr>
    </w:p>
    <w:p w14:paraId="146E6965" w14:textId="77777777" w:rsidR="00D30254" w:rsidRPr="00D30254" w:rsidRDefault="00D30254" w:rsidP="00D30254">
      <w:pPr>
        <w:ind w:left="112"/>
        <w:jc w:val="both"/>
        <w:rPr>
          <w:rFonts w:ascii="Arial" w:eastAsia="Arial" w:hAnsi="Arial" w:cs="Arial"/>
          <w:bCs/>
          <w:spacing w:val="-1"/>
          <w:sz w:val="24"/>
          <w:szCs w:val="24"/>
        </w:rPr>
      </w:pPr>
      <w:r w:rsidRPr="00D30254">
        <w:rPr>
          <w:rFonts w:ascii="Arial" w:eastAsia="Arial" w:hAnsi="Arial" w:cs="Arial"/>
          <w:bCs/>
          <w:spacing w:val="-1"/>
          <w:sz w:val="24"/>
          <w:szCs w:val="24"/>
        </w:rPr>
        <w:t xml:space="preserve">Insoddisfatta della sentenza n. 2/2007 del 18 giugno 2007, l'associazione ambientalista proponeva reclamo alla Corte di appello di Roma, chiedendo che venisse dichiarata la nullità del trasferimento del terreno alla Enel, </w:t>
      </w:r>
      <w:proofErr w:type="spellStart"/>
      <w:r w:rsidRPr="00D30254">
        <w:rPr>
          <w:rFonts w:ascii="Arial" w:eastAsia="Arial" w:hAnsi="Arial" w:cs="Arial"/>
          <w:bCs/>
          <w:spacing w:val="-1"/>
          <w:sz w:val="24"/>
          <w:szCs w:val="24"/>
        </w:rPr>
        <w:t>nonchè</w:t>
      </w:r>
      <w:proofErr w:type="spellEnd"/>
      <w:r w:rsidRPr="00D30254">
        <w:rPr>
          <w:rFonts w:ascii="Arial" w:eastAsia="Arial" w:hAnsi="Arial" w:cs="Arial"/>
          <w:bCs/>
          <w:spacing w:val="-1"/>
          <w:sz w:val="24"/>
          <w:szCs w:val="24"/>
        </w:rPr>
        <w:t xml:space="preserve"> degli atti autorizzativi e prodromici e della concessione edilizia.</w:t>
      </w:r>
    </w:p>
    <w:p w14:paraId="6ACE152A" w14:textId="77777777" w:rsidR="00D30254" w:rsidRPr="00D30254" w:rsidRDefault="00D30254" w:rsidP="00D30254">
      <w:pPr>
        <w:ind w:left="112"/>
        <w:jc w:val="both"/>
        <w:rPr>
          <w:rFonts w:ascii="Arial" w:eastAsia="Arial" w:hAnsi="Arial" w:cs="Arial"/>
          <w:bCs/>
          <w:spacing w:val="-1"/>
          <w:sz w:val="24"/>
          <w:szCs w:val="24"/>
        </w:rPr>
      </w:pPr>
    </w:p>
    <w:p w14:paraId="7F0EE56A" w14:textId="77777777" w:rsidR="00D30254" w:rsidRPr="00D30254" w:rsidRDefault="00D30254" w:rsidP="00D30254">
      <w:pPr>
        <w:ind w:left="112"/>
        <w:jc w:val="both"/>
        <w:rPr>
          <w:rFonts w:ascii="Arial" w:eastAsia="Arial" w:hAnsi="Arial" w:cs="Arial"/>
          <w:bCs/>
          <w:spacing w:val="-1"/>
          <w:sz w:val="24"/>
          <w:szCs w:val="24"/>
        </w:rPr>
      </w:pPr>
      <w:r w:rsidRPr="00D30254">
        <w:rPr>
          <w:rFonts w:ascii="Arial" w:eastAsia="Arial" w:hAnsi="Arial" w:cs="Arial"/>
          <w:bCs/>
          <w:spacing w:val="-1"/>
          <w:sz w:val="24"/>
          <w:szCs w:val="24"/>
        </w:rPr>
        <w:t>La Corte territoriale l'11 giugno 2009, in parziale accoglimento del reclamo, dichiarava nullo l'atto di cessione del terreno e condannava il Comune e la società "alla demolizione delle opere edificatorie realizzate" sul terreno e al ripristino dello stato dei luoghi.</w:t>
      </w:r>
    </w:p>
    <w:p w14:paraId="798408C4" w14:textId="77777777" w:rsidR="00D30254" w:rsidRPr="00D30254" w:rsidRDefault="00D30254" w:rsidP="00D30254">
      <w:pPr>
        <w:ind w:left="112"/>
        <w:jc w:val="both"/>
        <w:rPr>
          <w:rFonts w:ascii="Arial" w:eastAsia="Arial" w:hAnsi="Arial" w:cs="Arial"/>
          <w:bCs/>
          <w:spacing w:val="-1"/>
          <w:sz w:val="24"/>
          <w:szCs w:val="24"/>
        </w:rPr>
      </w:pPr>
    </w:p>
    <w:p w14:paraId="595151BF" w14:textId="77777777" w:rsidR="00D30254" w:rsidRPr="00D30254" w:rsidRDefault="00D30254" w:rsidP="00D30254">
      <w:pPr>
        <w:ind w:left="112"/>
        <w:jc w:val="both"/>
        <w:rPr>
          <w:rFonts w:ascii="Arial" w:eastAsia="Arial" w:hAnsi="Arial" w:cs="Arial"/>
          <w:bCs/>
          <w:spacing w:val="-1"/>
          <w:sz w:val="24"/>
          <w:szCs w:val="24"/>
        </w:rPr>
      </w:pPr>
      <w:r w:rsidRPr="00D30254">
        <w:rPr>
          <w:rFonts w:ascii="Arial" w:eastAsia="Arial" w:hAnsi="Arial" w:cs="Arial"/>
          <w:bCs/>
          <w:spacing w:val="-1"/>
          <w:sz w:val="24"/>
          <w:szCs w:val="24"/>
        </w:rPr>
        <w:t>1.1) Enel Distribuzione spa ha proposto due motivi di ricorso per cassazione, notificato il 6 ottobre 2009, resistito da controricorso del Comitato ambientalista, che ha depositato memoria.</w:t>
      </w:r>
    </w:p>
    <w:p w14:paraId="1FB9E0AF" w14:textId="77777777" w:rsidR="00D30254" w:rsidRPr="00D30254" w:rsidRDefault="00D30254" w:rsidP="00D30254">
      <w:pPr>
        <w:ind w:left="112"/>
        <w:jc w:val="both"/>
        <w:rPr>
          <w:rFonts w:ascii="Arial" w:eastAsia="Arial" w:hAnsi="Arial" w:cs="Arial"/>
          <w:bCs/>
          <w:spacing w:val="-1"/>
          <w:sz w:val="24"/>
          <w:szCs w:val="24"/>
        </w:rPr>
      </w:pPr>
    </w:p>
    <w:p w14:paraId="38ED5A50" w14:textId="77777777" w:rsidR="00D30254" w:rsidRPr="00D30254" w:rsidRDefault="00D30254" w:rsidP="00D30254">
      <w:pPr>
        <w:ind w:left="112"/>
        <w:jc w:val="both"/>
        <w:rPr>
          <w:rFonts w:ascii="Arial" w:eastAsia="Arial" w:hAnsi="Arial" w:cs="Arial"/>
          <w:bCs/>
          <w:spacing w:val="-1"/>
          <w:sz w:val="24"/>
          <w:szCs w:val="24"/>
        </w:rPr>
      </w:pPr>
      <w:r w:rsidRPr="00D30254">
        <w:rPr>
          <w:rFonts w:ascii="Arial" w:eastAsia="Arial" w:hAnsi="Arial" w:cs="Arial"/>
          <w:bCs/>
          <w:spacing w:val="-1"/>
          <w:sz w:val="24"/>
          <w:szCs w:val="24"/>
        </w:rPr>
        <w:t xml:space="preserve">All'udienza del 18 aprile 2012 è stata disposta l'integrazione del contraddittorio nei confronti del Comune, non risultando perfezionato il procedimento </w:t>
      </w:r>
      <w:proofErr w:type="spellStart"/>
      <w:r w:rsidRPr="00D30254">
        <w:rPr>
          <w:rFonts w:ascii="Arial" w:eastAsia="Arial" w:hAnsi="Arial" w:cs="Arial"/>
          <w:bCs/>
          <w:spacing w:val="-1"/>
          <w:sz w:val="24"/>
          <w:szCs w:val="24"/>
        </w:rPr>
        <w:t>notificatorio</w:t>
      </w:r>
      <w:proofErr w:type="spellEnd"/>
      <w:r w:rsidRPr="00D30254">
        <w:rPr>
          <w:rFonts w:ascii="Arial" w:eastAsia="Arial" w:hAnsi="Arial" w:cs="Arial"/>
          <w:bCs/>
          <w:spacing w:val="-1"/>
          <w:sz w:val="24"/>
          <w:szCs w:val="24"/>
        </w:rPr>
        <w:t>.</w:t>
      </w:r>
    </w:p>
    <w:p w14:paraId="04AE8682" w14:textId="77777777" w:rsidR="00D30254" w:rsidRPr="00D30254" w:rsidRDefault="00D30254" w:rsidP="00D30254">
      <w:pPr>
        <w:ind w:left="112"/>
        <w:jc w:val="both"/>
        <w:rPr>
          <w:rFonts w:ascii="Arial" w:eastAsia="Arial" w:hAnsi="Arial" w:cs="Arial"/>
          <w:bCs/>
          <w:spacing w:val="-1"/>
          <w:sz w:val="24"/>
          <w:szCs w:val="24"/>
        </w:rPr>
      </w:pPr>
    </w:p>
    <w:p w14:paraId="366ADBBB" w14:textId="77777777" w:rsidR="00D30254" w:rsidRPr="00D30254" w:rsidRDefault="00D30254" w:rsidP="00D30254">
      <w:pPr>
        <w:ind w:left="112"/>
        <w:jc w:val="both"/>
        <w:rPr>
          <w:rFonts w:ascii="Arial" w:eastAsia="Arial" w:hAnsi="Arial" w:cs="Arial"/>
          <w:bCs/>
          <w:spacing w:val="-1"/>
          <w:sz w:val="24"/>
          <w:szCs w:val="24"/>
        </w:rPr>
      </w:pPr>
      <w:r w:rsidRPr="00D30254">
        <w:rPr>
          <w:rFonts w:ascii="Arial" w:eastAsia="Arial" w:hAnsi="Arial" w:cs="Arial"/>
          <w:bCs/>
          <w:spacing w:val="-1"/>
          <w:sz w:val="24"/>
          <w:szCs w:val="24"/>
        </w:rPr>
        <w:t>Enel ha eseguito detta rinotifica in Roma, il 12.6.2012, senza esito.</w:t>
      </w:r>
    </w:p>
    <w:p w14:paraId="3C7C58BF" w14:textId="77777777" w:rsidR="00D30254" w:rsidRPr="00D30254" w:rsidRDefault="00D30254" w:rsidP="00D30254">
      <w:pPr>
        <w:ind w:left="112"/>
        <w:jc w:val="both"/>
        <w:rPr>
          <w:rFonts w:ascii="Arial" w:eastAsia="Arial" w:hAnsi="Arial" w:cs="Arial"/>
          <w:bCs/>
          <w:spacing w:val="-1"/>
          <w:sz w:val="24"/>
          <w:szCs w:val="24"/>
        </w:rPr>
      </w:pPr>
    </w:p>
    <w:p w14:paraId="096559A1" w14:textId="77777777" w:rsidR="00D30254" w:rsidRPr="00D30254" w:rsidRDefault="00D30254" w:rsidP="00D30254">
      <w:pPr>
        <w:ind w:left="112"/>
        <w:jc w:val="both"/>
        <w:rPr>
          <w:rFonts w:ascii="Arial" w:eastAsia="Arial" w:hAnsi="Arial" w:cs="Arial"/>
          <w:bCs/>
          <w:spacing w:val="-1"/>
          <w:sz w:val="24"/>
          <w:szCs w:val="24"/>
        </w:rPr>
      </w:pPr>
      <w:r w:rsidRPr="00D30254">
        <w:rPr>
          <w:rFonts w:ascii="Arial" w:eastAsia="Arial" w:hAnsi="Arial" w:cs="Arial"/>
          <w:bCs/>
          <w:spacing w:val="-1"/>
          <w:sz w:val="24"/>
          <w:szCs w:val="24"/>
        </w:rPr>
        <w:t>All'udienza dell'8 gennaio 2013 è stata disposta rinotifica al comune di San Demetrio Corone, eseguita il 20 febbraio 2013.</w:t>
      </w:r>
    </w:p>
    <w:p w14:paraId="102C187C" w14:textId="77777777" w:rsidR="00D30254" w:rsidRPr="00D30254" w:rsidRDefault="00D30254" w:rsidP="00D30254">
      <w:pPr>
        <w:ind w:left="112"/>
        <w:jc w:val="both"/>
        <w:rPr>
          <w:rFonts w:ascii="Arial" w:eastAsia="Arial" w:hAnsi="Arial" w:cs="Arial"/>
          <w:bCs/>
          <w:spacing w:val="-1"/>
          <w:sz w:val="24"/>
          <w:szCs w:val="24"/>
        </w:rPr>
      </w:pPr>
    </w:p>
    <w:p w14:paraId="06B3F9DC" w14:textId="77777777" w:rsidR="00D30254" w:rsidRPr="00D30254" w:rsidRDefault="00D30254" w:rsidP="00D30254">
      <w:pPr>
        <w:ind w:left="112"/>
        <w:jc w:val="both"/>
        <w:rPr>
          <w:rFonts w:ascii="Arial" w:eastAsia="Arial" w:hAnsi="Arial" w:cs="Arial"/>
          <w:bCs/>
          <w:spacing w:val="-1"/>
          <w:sz w:val="24"/>
          <w:szCs w:val="24"/>
        </w:rPr>
      </w:pPr>
      <w:r w:rsidRPr="00D30254">
        <w:rPr>
          <w:rFonts w:ascii="Arial" w:eastAsia="Arial" w:hAnsi="Arial" w:cs="Arial"/>
          <w:bCs/>
          <w:spacing w:val="-1"/>
          <w:sz w:val="24"/>
          <w:szCs w:val="24"/>
        </w:rPr>
        <w:t>Il Comune è rimasto intimato.</w:t>
      </w:r>
    </w:p>
    <w:p w14:paraId="418511DD" w14:textId="77777777" w:rsidR="00D30254" w:rsidRPr="00D30254" w:rsidRDefault="00D30254" w:rsidP="00D30254">
      <w:pPr>
        <w:ind w:left="112"/>
        <w:jc w:val="both"/>
        <w:rPr>
          <w:rFonts w:ascii="Arial" w:eastAsia="Arial" w:hAnsi="Arial" w:cs="Arial"/>
          <w:bCs/>
          <w:spacing w:val="-1"/>
          <w:sz w:val="24"/>
          <w:szCs w:val="24"/>
        </w:rPr>
      </w:pPr>
    </w:p>
    <w:p w14:paraId="290B13D1" w14:textId="77777777" w:rsidR="00D30254" w:rsidRPr="00D30254" w:rsidRDefault="00D30254" w:rsidP="00D30254">
      <w:pPr>
        <w:ind w:left="112"/>
        <w:jc w:val="both"/>
        <w:rPr>
          <w:rFonts w:ascii="Arial" w:eastAsia="Arial" w:hAnsi="Arial" w:cs="Arial"/>
          <w:bCs/>
          <w:spacing w:val="-1"/>
          <w:sz w:val="24"/>
          <w:szCs w:val="24"/>
        </w:rPr>
      </w:pPr>
      <w:r w:rsidRPr="00D30254">
        <w:rPr>
          <w:rFonts w:ascii="Arial" w:eastAsia="Arial" w:hAnsi="Arial" w:cs="Arial"/>
          <w:bCs/>
          <w:spacing w:val="-1"/>
          <w:sz w:val="24"/>
          <w:szCs w:val="24"/>
        </w:rPr>
        <w:t>Parte ricorrente ha depositato memoria.</w:t>
      </w:r>
    </w:p>
    <w:p w14:paraId="29040C2C" w14:textId="77777777" w:rsidR="00D30254" w:rsidRPr="00D30254" w:rsidRDefault="00D30254" w:rsidP="00D30254">
      <w:pPr>
        <w:ind w:left="112"/>
        <w:jc w:val="both"/>
        <w:rPr>
          <w:rFonts w:ascii="Arial" w:eastAsia="Arial" w:hAnsi="Arial" w:cs="Arial"/>
          <w:bCs/>
          <w:spacing w:val="-1"/>
          <w:sz w:val="24"/>
          <w:szCs w:val="24"/>
        </w:rPr>
      </w:pPr>
    </w:p>
    <w:p w14:paraId="1B53C642" w14:textId="77777777" w:rsidR="00D30254" w:rsidRPr="00D30254" w:rsidRDefault="00D30254" w:rsidP="00D30254">
      <w:pPr>
        <w:ind w:left="112"/>
        <w:jc w:val="both"/>
        <w:rPr>
          <w:rFonts w:ascii="Arial" w:eastAsia="Arial" w:hAnsi="Arial" w:cs="Arial"/>
          <w:bCs/>
          <w:spacing w:val="-1"/>
          <w:sz w:val="24"/>
          <w:szCs w:val="24"/>
        </w:rPr>
      </w:pPr>
      <w:r w:rsidRPr="00D30254">
        <w:rPr>
          <w:rFonts w:ascii="Arial" w:eastAsia="Arial" w:hAnsi="Arial" w:cs="Arial"/>
          <w:bCs/>
          <w:spacing w:val="-1"/>
          <w:sz w:val="24"/>
          <w:szCs w:val="24"/>
        </w:rPr>
        <w:t>Motivi della decisione</w:t>
      </w:r>
    </w:p>
    <w:p w14:paraId="77E99662" w14:textId="77777777" w:rsidR="00D30254" w:rsidRPr="00D30254" w:rsidRDefault="00D30254" w:rsidP="00D30254">
      <w:pPr>
        <w:ind w:left="112"/>
        <w:jc w:val="both"/>
        <w:rPr>
          <w:rFonts w:ascii="Arial" w:eastAsia="Arial" w:hAnsi="Arial" w:cs="Arial"/>
          <w:bCs/>
          <w:spacing w:val="-1"/>
          <w:sz w:val="24"/>
          <w:szCs w:val="24"/>
        </w:rPr>
      </w:pPr>
    </w:p>
    <w:p w14:paraId="573B2795" w14:textId="77777777" w:rsidR="00D30254" w:rsidRPr="00D30254" w:rsidRDefault="00D30254" w:rsidP="00D30254">
      <w:pPr>
        <w:ind w:left="112"/>
        <w:jc w:val="both"/>
        <w:rPr>
          <w:rFonts w:ascii="Arial" w:eastAsia="Arial" w:hAnsi="Arial" w:cs="Arial"/>
          <w:bCs/>
          <w:spacing w:val="-1"/>
          <w:sz w:val="24"/>
          <w:szCs w:val="24"/>
        </w:rPr>
      </w:pPr>
      <w:r w:rsidRPr="00D30254">
        <w:rPr>
          <w:rFonts w:ascii="Arial" w:eastAsia="Arial" w:hAnsi="Arial" w:cs="Arial"/>
          <w:bCs/>
          <w:spacing w:val="-1"/>
          <w:sz w:val="24"/>
          <w:szCs w:val="24"/>
        </w:rPr>
        <w:t>2) Preliminarmente va rilevato che il ricorso è ammissibile, essendo stata prodotta la copia della sentenza impugnata, notificata il 7 luglio 2009, e rispettato il termine di 45 giorni per il ricorso per cassazione fissato dalla L. 10 luglio 1930, n. 1078, art. 8, abrogato dal decreto sulla semplificazione dei riti (n. 150/11) in epoca successiva alla proposizione dell'impugnazione.</w:t>
      </w:r>
    </w:p>
    <w:p w14:paraId="136A743F" w14:textId="77777777" w:rsidR="00D30254" w:rsidRPr="00D30254" w:rsidRDefault="00D30254" w:rsidP="00D30254">
      <w:pPr>
        <w:ind w:left="112"/>
        <w:jc w:val="both"/>
        <w:rPr>
          <w:rFonts w:ascii="Arial" w:eastAsia="Arial" w:hAnsi="Arial" w:cs="Arial"/>
          <w:bCs/>
          <w:spacing w:val="-1"/>
          <w:sz w:val="24"/>
          <w:szCs w:val="24"/>
        </w:rPr>
      </w:pPr>
    </w:p>
    <w:p w14:paraId="75FA44B0" w14:textId="77777777" w:rsidR="00D30254" w:rsidRPr="00D30254" w:rsidRDefault="00D30254" w:rsidP="00D30254">
      <w:pPr>
        <w:ind w:left="112"/>
        <w:jc w:val="both"/>
        <w:rPr>
          <w:rFonts w:ascii="Arial" w:eastAsia="Arial" w:hAnsi="Arial" w:cs="Arial"/>
          <w:bCs/>
          <w:spacing w:val="-1"/>
          <w:sz w:val="24"/>
          <w:szCs w:val="24"/>
        </w:rPr>
      </w:pPr>
      <w:r w:rsidRPr="00D30254">
        <w:rPr>
          <w:rFonts w:ascii="Arial" w:eastAsia="Arial" w:hAnsi="Arial" w:cs="Arial"/>
          <w:bCs/>
          <w:spacing w:val="-1"/>
          <w:sz w:val="24"/>
          <w:szCs w:val="24"/>
        </w:rPr>
        <w:t xml:space="preserve">3) Con il primo motivo di ricorso, l'Enel con idoneo quesito lamenta la violazione dell'art. 100 </w:t>
      </w:r>
      <w:proofErr w:type="spellStart"/>
      <w:r w:rsidRPr="00D30254">
        <w:rPr>
          <w:rFonts w:ascii="Arial" w:eastAsia="Arial" w:hAnsi="Arial" w:cs="Arial"/>
          <w:bCs/>
          <w:spacing w:val="-1"/>
          <w:sz w:val="24"/>
          <w:szCs w:val="24"/>
        </w:rPr>
        <w:t>c.p.c.</w:t>
      </w:r>
      <w:proofErr w:type="spellEnd"/>
      <w:r w:rsidRPr="00D30254">
        <w:rPr>
          <w:rFonts w:ascii="Arial" w:eastAsia="Arial" w:hAnsi="Arial" w:cs="Arial"/>
          <w:bCs/>
          <w:spacing w:val="-1"/>
          <w:sz w:val="24"/>
          <w:szCs w:val="24"/>
        </w:rPr>
        <w:t xml:space="preserve"> e chiede se il Comitato era carente di interesse a proporre reclamo, </w:t>
      </w:r>
      <w:r w:rsidRPr="00D30254">
        <w:rPr>
          <w:rFonts w:ascii="Arial" w:eastAsia="Arial" w:hAnsi="Arial" w:cs="Arial"/>
          <w:bCs/>
          <w:spacing w:val="-1"/>
          <w:sz w:val="24"/>
          <w:szCs w:val="24"/>
        </w:rPr>
        <w:lastRenderedPageBreak/>
        <w:t>dato che, come aveva affermato il primo giudice, era stata ordinata la riduzione in pristino ed era venuta meno ogni possibilità edificatoria, mentre per altre attività, per le quali non vi era preclusione assoluta, occorreva autorizzazione della Giunta regionale di modifica della destinazione di uso dei beni gravati da usi civici.</w:t>
      </w:r>
    </w:p>
    <w:p w14:paraId="1D2A0FCC" w14:textId="77777777" w:rsidR="00D30254" w:rsidRPr="00D30254" w:rsidRDefault="00D30254" w:rsidP="00D30254">
      <w:pPr>
        <w:ind w:left="112"/>
        <w:jc w:val="both"/>
        <w:rPr>
          <w:rFonts w:ascii="Arial" w:eastAsia="Arial" w:hAnsi="Arial" w:cs="Arial"/>
          <w:bCs/>
          <w:spacing w:val="-1"/>
          <w:sz w:val="24"/>
          <w:szCs w:val="24"/>
        </w:rPr>
      </w:pPr>
    </w:p>
    <w:p w14:paraId="71ACC253" w14:textId="77777777" w:rsidR="00D30254" w:rsidRPr="00D30254" w:rsidRDefault="00D30254" w:rsidP="00D30254">
      <w:pPr>
        <w:ind w:left="112"/>
        <w:jc w:val="both"/>
        <w:rPr>
          <w:rFonts w:ascii="Arial" w:eastAsia="Arial" w:hAnsi="Arial" w:cs="Arial"/>
          <w:bCs/>
          <w:spacing w:val="-1"/>
          <w:sz w:val="24"/>
          <w:szCs w:val="24"/>
        </w:rPr>
      </w:pPr>
      <w:r w:rsidRPr="00D30254">
        <w:rPr>
          <w:rFonts w:ascii="Arial" w:eastAsia="Arial" w:hAnsi="Arial" w:cs="Arial"/>
          <w:bCs/>
          <w:spacing w:val="-1"/>
          <w:sz w:val="24"/>
          <w:szCs w:val="24"/>
        </w:rPr>
        <w:t xml:space="preserve">Sostiene che in tale situazione difetterebbe l'interesse ad agire, </w:t>
      </w:r>
      <w:proofErr w:type="spellStart"/>
      <w:r w:rsidRPr="00D30254">
        <w:rPr>
          <w:rFonts w:ascii="Arial" w:eastAsia="Arial" w:hAnsi="Arial" w:cs="Arial"/>
          <w:bCs/>
          <w:spacing w:val="-1"/>
          <w:sz w:val="24"/>
          <w:szCs w:val="24"/>
        </w:rPr>
        <w:t>perchè</w:t>
      </w:r>
      <w:proofErr w:type="spellEnd"/>
      <w:r w:rsidRPr="00D30254">
        <w:rPr>
          <w:rFonts w:ascii="Arial" w:eastAsia="Arial" w:hAnsi="Arial" w:cs="Arial"/>
          <w:bCs/>
          <w:spacing w:val="-1"/>
          <w:sz w:val="24"/>
          <w:szCs w:val="24"/>
        </w:rPr>
        <w:t xml:space="preserve"> sarebbe perseguito un interesse astratto o una mera soluzione giuridica più corretta, ma priva di riflessi pratici.</w:t>
      </w:r>
    </w:p>
    <w:p w14:paraId="0BA7D35B" w14:textId="77777777" w:rsidR="00D30254" w:rsidRPr="00D30254" w:rsidRDefault="00D30254" w:rsidP="00D30254">
      <w:pPr>
        <w:ind w:left="112"/>
        <w:jc w:val="both"/>
        <w:rPr>
          <w:rFonts w:ascii="Arial" w:eastAsia="Arial" w:hAnsi="Arial" w:cs="Arial"/>
          <w:bCs/>
          <w:spacing w:val="-1"/>
          <w:sz w:val="24"/>
          <w:szCs w:val="24"/>
        </w:rPr>
      </w:pPr>
    </w:p>
    <w:p w14:paraId="4063FE6F" w14:textId="77777777" w:rsidR="00D30254" w:rsidRPr="00D30254" w:rsidRDefault="00D30254" w:rsidP="00D30254">
      <w:pPr>
        <w:ind w:left="112"/>
        <w:jc w:val="both"/>
        <w:rPr>
          <w:rFonts w:ascii="Arial" w:eastAsia="Arial" w:hAnsi="Arial" w:cs="Arial"/>
          <w:bCs/>
          <w:spacing w:val="-1"/>
          <w:sz w:val="24"/>
          <w:szCs w:val="24"/>
        </w:rPr>
      </w:pPr>
      <w:r w:rsidRPr="00D30254">
        <w:rPr>
          <w:rFonts w:ascii="Arial" w:eastAsia="Arial" w:hAnsi="Arial" w:cs="Arial"/>
          <w:bCs/>
          <w:spacing w:val="-1"/>
          <w:sz w:val="24"/>
          <w:szCs w:val="24"/>
        </w:rPr>
        <w:t>La censura è infondata.</w:t>
      </w:r>
    </w:p>
    <w:p w14:paraId="5724C0E3" w14:textId="77777777" w:rsidR="00D30254" w:rsidRPr="00D30254" w:rsidRDefault="00D30254" w:rsidP="00D30254">
      <w:pPr>
        <w:ind w:left="112"/>
        <w:jc w:val="both"/>
        <w:rPr>
          <w:rFonts w:ascii="Arial" w:eastAsia="Arial" w:hAnsi="Arial" w:cs="Arial"/>
          <w:bCs/>
          <w:spacing w:val="-1"/>
          <w:sz w:val="24"/>
          <w:szCs w:val="24"/>
        </w:rPr>
      </w:pPr>
    </w:p>
    <w:p w14:paraId="3808B921" w14:textId="77777777" w:rsidR="00D30254" w:rsidRPr="00D30254" w:rsidRDefault="00D30254" w:rsidP="00D30254">
      <w:pPr>
        <w:ind w:left="112"/>
        <w:jc w:val="both"/>
        <w:rPr>
          <w:rFonts w:ascii="Arial" w:eastAsia="Arial" w:hAnsi="Arial" w:cs="Arial"/>
          <w:bCs/>
          <w:spacing w:val="-1"/>
          <w:sz w:val="24"/>
          <w:szCs w:val="24"/>
        </w:rPr>
      </w:pPr>
      <w:r w:rsidRPr="00D30254">
        <w:rPr>
          <w:rFonts w:ascii="Arial" w:eastAsia="Arial" w:hAnsi="Arial" w:cs="Arial"/>
          <w:bCs/>
          <w:spacing w:val="-1"/>
          <w:sz w:val="24"/>
          <w:szCs w:val="24"/>
        </w:rPr>
        <w:t>La Corte d'appello, specificamente citando la giurisprudenza che ha dato corpo alla normativa in tema di usi civici, ha ricordato che la cognizione del Commissario si estende all'accertamento in via incidentale degli atti di disposizione o trasferimento dei beni stipulati in violazione dei divieti vigenti.</w:t>
      </w:r>
    </w:p>
    <w:p w14:paraId="41B2F9B6" w14:textId="77777777" w:rsidR="00D30254" w:rsidRPr="00D30254" w:rsidRDefault="00D30254" w:rsidP="00D30254">
      <w:pPr>
        <w:ind w:left="112"/>
        <w:jc w:val="both"/>
        <w:rPr>
          <w:rFonts w:ascii="Arial" w:eastAsia="Arial" w:hAnsi="Arial" w:cs="Arial"/>
          <w:bCs/>
          <w:spacing w:val="-1"/>
          <w:sz w:val="24"/>
          <w:szCs w:val="24"/>
        </w:rPr>
      </w:pPr>
    </w:p>
    <w:p w14:paraId="0A2282FA" w14:textId="77777777" w:rsidR="00D30254" w:rsidRPr="00D30254" w:rsidRDefault="00D30254" w:rsidP="00D30254">
      <w:pPr>
        <w:ind w:left="112"/>
        <w:jc w:val="both"/>
        <w:rPr>
          <w:rFonts w:ascii="Arial" w:eastAsia="Arial" w:hAnsi="Arial" w:cs="Arial"/>
          <w:bCs/>
          <w:spacing w:val="-1"/>
          <w:sz w:val="24"/>
          <w:szCs w:val="24"/>
        </w:rPr>
      </w:pPr>
      <w:r w:rsidRPr="00D30254">
        <w:rPr>
          <w:rFonts w:ascii="Arial" w:eastAsia="Arial" w:hAnsi="Arial" w:cs="Arial"/>
          <w:bCs/>
          <w:spacing w:val="-1"/>
          <w:sz w:val="24"/>
          <w:szCs w:val="24"/>
        </w:rPr>
        <w:t>Su questa base ha ravvisato l'errore della pronuncia del Commissario, fermatosi</w:t>
      </w:r>
      <w:bookmarkStart w:id="0" w:name="_GoBack"/>
      <w:bookmarkEnd w:id="0"/>
      <w:r w:rsidRPr="00D30254">
        <w:rPr>
          <w:rFonts w:ascii="Arial" w:eastAsia="Arial" w:hAnsi="Arial" w:cs="Arial"/>
          <w:bCs/>
          <w:spacing w:val="-1"/>
          <w:sz w:val="24"/>
          <w:szCs w:val="24"/>
        </w:rPr>
        <w:t xml:space="preserve"> all'ordine di demolizione del manufatto costruito sui terreni.</w:t>
      </w:r>
    </w:p>
    <w:p w14:paraId="69076BB6" w14:textId="77777777" w:rsidR="00D30254" w:rsidRPr="00D30254" w:rsidRDefault="00D30254" w:rsidP="00D30254">
      <w:pPr>
        <w:ind w:left="112"/>
        <w:jc w:val="both"/>
        <w:rPr>
          <w:rFonts w:ascii="Arial" w:eastAsia="Arial" w:hAnsi="Arial" w:cs="Arial"/>
          <w:bCs/>
          <w:spacing w:val="-1"/>
          <w:sz w:val="24"/>
          <w:szCs w:val="24"/>
        </w:rPr>
      </w:pPr>
    </w:p>
    <w:p w14:paraId="5CBC1C7A" w14:textId="77777777" w:rsidR="00D30254" w:rsidRPr="00D30254" w:rsidRDefault="00D30254" w:rsidP="00D30254">
      <w:pPr>
        <w:ind w:left="112"/>
        <w:jc w:val="both"/>
        <w:rPr>
          <w:rFonts w:ascii="Arial" w:eastAsia="Arial" w:hAnsi="Arial" w:cs="Arial"/>
          <w:bCs/>
          <w:spacing w:val="-1"/>
          <w:sz w:val="24"/>
          <w:szCs w:val="24"/>
        </w:rPr>
      </w:pPr>
      <w:r w:rsidRPr="00D30254">
        <w:rPr>
          <w:rFonts w:ascii="Arial" w:eastAsia="Arial" w:hAnsi="Arial" w:cs="Arial"/>
          <w:bCs/>
          <w:spacing w:val="-1"/>
          <w:sz w:val="24"/>
          <w:szCs w:val="24"/>
        </w:rPr>
        <w:t xml:space="preserve">Evidente è l'interesse che aveva l'associazione ambientalista alla declaratoria delle conseguenze dell'accertata natura del bene, tale da vanificare l'atto di cessione del bene stesso e precludere in radice anche la ripetibilità, per questa via, di violazione dei diritti civici di cui era stata chiesta tutela. Trattasi di difesa di intensità maggiore rispetto alla mera revoca dell'autorizzazione a costruire, che era stata disposta dal comune stesso o alla demolizione delle opere, </w:t>
      </w:r>
      <w:proofErr w:type="spellStart"/>
      <w:r w:rsidRPr="00D30254">
        <w:rPr>
          <w:rFonts w:ascii="Arial" w:eastAsia="Arial" w:hAnsi="Arial" w:cs="Arial"/>
          <w:bCs/>
          <w:spacing w:val="-1"/>
          <w:sz w:val="24"/>
          <w:szCs w:val="24"/>
        </w:rPr>
        <w:t>perchè</w:t>
      </w:r>
      <w:proofErr w:type="spellEnd"/>
      <w:r w:rsidRPr="00D30254">
        <w:rPr>
          <w:rFonts w:ascii="Arial" w:eastAsia="Arial" w:hAnsi="Arial" w:cs="Arial"/>
          <w:bCs/>
          <w:spacing w:val="-1"/>
          <w:sz w:val="24"/>
          <w:szCs w:val="24"/>
        </w:rPr>
        <w:t xml:space="preserve"> mira a conservare, per quanto possibile la titolarità del bene immobile indebitamente assoggettato ad edificazione.</w:t>
      </w:r>
    </w:p>
    <w:p w14:paraId="379D5BB9" w14:textId="77777777" w:rsidR="00D30254" w:rsidRPr="00D30254" w:rsidRDefault="00D30254" w:rsidP="00D30254">
      <w:pPr>
        <w:ind w:left="112"/>
        <w:jc w:val="both"/>
        <w:rPr>
          <w:rFonts w:ascii="Arial" w:eastAsia="Arial" w:hAnsi="Arial" w:cs="Arial"/>
          <w:bCs/>
          <w:spacing w:val="-1"/>
          <w:sz w:val="24"/>
          <w:szCs w:val="24"/>
        </w:rPr>
      </w:pPr>
    </w:p>
    <w:p w14:paraId="2AD49529" w14:textId="77777777" w:rsidR="00D30254" w:rsidRPr="00D30254" w:rsidRDefault="00D30254" w:rsidP="00D30254">
      <w:pPr>
        <w:ind w:left="112"/>
        <w:jc w:val="both"/>
        <w:rPr>
          <w:rFonts w:ascii="Arial" w:eastAsia="Arial" w:hAnsi="Arial" w:cs="Arial"/>
          <w:bCs/>
          <w:spacing w:val="-1"/>
          <w:sz w:val="24"/>
          <w:szCs w:val="24"/>
        </w:rPr>
      </w:pPr>
      <w:r w:rsidRPr="00D30254">
        <w:rPr>
          <w:rFonts w:ascii="Arial" w:eastAsia="Arial" w:hAnsi="Arial" w:cs="Arial"/>
          <w:bCs/>
          <w:spacing w:val="-1"/>
          <w:sz w:val="24"/>
          <w:szCs w:val="24"/>
        </w:rPr>
        <w:t xml:space="preserve">4) Il secondo motivo denuncia difetto di motivazione della sentenza impugnata. Parte ricorrente sostiene che nel dichiarare la nullità dell'atto concessivo, la Corte non ha verificato "la sussistenza dei requisiti che avrebbero consentito la commerciabilità del bene" e ha automaticamente fatto conseguire alla </w:t>
      </w:r>
      <w:proofErr w:type="spellStart"/>
      <w:r w:rsidRPr="00D30254">
        <w:rPr>
          <w:rFonts w:ascii="Arial" w:eastAsia="Arial" w:hAnsi="Arial" w:cs="Arial"/>
          <w:bCs/>
          <w:spacing w:val="-1"/>
          <w:sz w:val="24"/>
          <w:szCs w:val="24"/>
        </w:rPr>
        <w:t>civicità</w:t>
      </w:r>
      <w:proofErr w:type="spellEnd"/>
      <w:r w:rsidRPr="00D30254">
        <w:rPr>
          <w:rFonts w:ascii="Arial" w:eastAsia="Arial" w:hAnsi="Arial" w:cs="Arial"/>
          <w:bCs/>
          <w:spacing w:val="-1"/>
          <w:sz w:val="24"/>
          <w:szCs w:val="24"/>
        </w:rPr>
        <w:t xml:space="preserve"> dei luoghi la necessità della dichiarazione di nullità dell'atto.</w:t>
      </w:r>
    </w:p>
    <w:p w14:paraId="386B0E47" w14:textId="77777777" w:rsidR="00D30254" w:rsidRPr="00D30254" w:rsidRDefault="00D30254" w:rsidP="00D30254">
      <w:pPr>
        <w:ind w:left="112"/>
        <w:jc w:val="both"/>
        <w:rPr>
          <w:rFonts w:ascii="Arial" w:eastAsia="Arial" w:hAnsi="Arial" w:cs="Arial"/>
          <w:bCs/>
          <w:spacing w:val="-1"/>
          <w:sz w:val="24"/>
          <w:szCs w:val="24"/>
        </w:rPr>
      </w:pPr>
    </w:p>
    <w:p w14:paraId="7E0F7F19" w14:textId="77777777" w:rsidR="00D30254" w:rsidRPr="00D30254" w:rsidRDefault="00D30254" w:rsidP="00D30254">
      <w:pPr>
        <w:ind w:left="112"/>
        <w:jc w:val="both"/>
        <w:rPr>
          <w:rFonts w:ascii="Arial" w:eastAsia="Arial" w:hAnsi="Arial" w:cs="Arial"/>
          <w:bCs/>
          <w:spacing w:val="-1"/>
          <w:sz w:val="24"/>
          <w:szCs w:val="24"/>
        </w:rPr>
      </w:pPr>
      <w:r w:rsidRPr="00D30254">
        <w:rPr>
          <w:rFonts w:ascii="Arial" w:eastAsia="Arial" w:hAnsi="Arial" w:cs="Arial"/>
          <w:bCs/>
          <w:spacing w:val="-1"/>
          <w:sz w:val="24"/>
          <w:szCs w:val="24"/>
        </w:rPr>
        <w:t>Sostiene che era sopraggiunta la L.R. n. 18 del 2007 e che peraltro il R.D. n. 3267 del 1923, consentiva la modifica di destinazione di terreni gravati da usi civici, in determinate condizioni.</w:t>
      </w:r>
    </w:p>
    <w:p w14:paraId="338BE2F6" w14:textId="77777777" w:rsidR="00D30254" w:rsidRPr="00D30254" w:rsidRDefault="00D30254" w:rsidP="00D30254">
      <w:pPr>
        <w:ind w:left="112"/>
        <w:jc w:val="both"/>
        <w:rPr>
          <w:rFonts w:ascii="Arial" w:eastAsia="Arial" w:hAnsi="Arial" w:cs="Arial"/>
          <w:bCs/>
          <w:spacing w:val="-1"/>
          <w:sz w:val="24"/>
          <w:szCs w:val="24"/>
        </w:rPr>
      </w:pPr>
    </w:p>
    <w:p w14:paraId="188EBB08" w14:textId="77777777" w:rsidR="00D30254" w:rsidRPr="00D30254" w:rsidRDefault="00D30254" w:rsidP="00D30254">
      <w:pPr>
        <w:ind w:left="112"/>
        <w:jc w:val="both"/>
        <w:rPr>
          <w:rFonts w:ascii="Arial" w:eastAsia="Arial" w:hAnsi="Arial" w:cs="Arial"/>
          <w:bCs/>
          <w:spacing w:val="-1"/>
          <w:sz w:val="24"/>
          <w:szCs w:val="24"/>
        </w:rPr>
      </w:pPr>
      <w:r w:rsidRPr="00D30254">
        <w:rPr>
          <w:rFonts w:ascii="Arial" w:eastAsia="Arial" w:hAnsi="Arial" w:cs="Arial"/>
          <w:bCs/>
          <w:spacing w:val="-1"/>
          <w:sz w:val="24"/>
          <w:szCs w:val="24"/>
        </w:rPr>
        <w:t>Ripete inoltre che bene aveva fatto il Commissario agli usi civici a limitare la pronuncia e a non dichiarare la nullità, dovendosi "considerare le possibilità derogatorie di cui al R.D. del 1923 e la nuova L.R. del 2007".</w:t>
      </w:r>
    </w:p>
    <w:p w14:paraId="36A9D635" w14:textId="77777777" w:rsidR="00D30254" w:rsidRPr="00D30254" w:rsidRDefault="00D30254" w:rsidP="00D30254">
      <w:pPr>
        <w:ind w:left="112"/>
        <w:jc w:val="both"/>
        <w:rPr>
          <w:rFonts w:ascii="Arial" w:eastAsia="Arial" w:hAnsi="Arial" w:cs="Arial"/>
          <w:bCs/>
          <w:spacing w:val="-1"/>
          <w:sz w:val="24"/>
          <w:szCs w:val="24"/>
        </w:rPr>
      </w:pPr>
    </w:p>
    <w:p w14:paraId="2C8B80DA" w14:textId="77777777" w:rsidR="00D30254" w:rsidRPr="00D30254" w:rsidRDefault="00D30254" w:rsidP="00D30254">
      <w:pPr>
        <w:ind w:left="112"/>
        <w:jc w:val="both"/>
        <w:rPr>
          <w:rFonts w:ascii="Arial" w:eastAsia="Arial" w:hAnsi="Arial" w:cs="Arial"/>
          <w:bCs/>
          <w:spacing w:val="-1"/>
          <w:sz w:val="24"/>
          <w:szCs w:val="24"/>
        </w:rPr>
      </w:pPr>
      <w:r w:rsidRPr="00D30254">
        <w:rPr>
          <w:rFonts w:ascii="Arial" w:eastAsia="Arial" w:hAnsi="Arial" w:cs="Arial"/>
          <w:bCs/>
          <w:spacing w:val="-1"/>
          <w:sz w:val="24"/>
          <w:szCs w:val="24"/>
        </w:rPr>
        <w:t>La Corte d'appello non avrebbe motivato la decisione assunta in presenza delle autorizzazioni rilasciate in vista della concessione comunale poi annullata.</w:t>
      </w:r>
    </w:p>
    <w:p w14:paraId="7EDAFD9D" w14:textId="77777777" w:rsidR="00D30254" w:rsidRPr="00D30254" w:rsidRDefault="00D30254" w:rsidP="00D30254">
      <w:pPr>
        <w:ind w:left="112"/>
        <w:jc w:val="both"/>
        <w:rPr>
          <w:rFonts w:ascii="Arial" w:eastAsia="Arial" w:hAnsi="Arial" w:cs="Arial"/>
          <w:bCs/>
          <w:spacing w:val="-1"/>
          <w:sz w:val="24"/>
          <w:szCs w:val="24"/>
        </w:rPr>
      </w:pPr>
    </w:p>
    <w:p w14:paraId="324068BF" w14:textId="77777777" w:rsidR="00D30254" w:rsidRPr="00D30254" w:rsidRDefault="00D30254" w:rsidP="00D30254">
      <w:pPr>
        <w:ind w:left="112"/>
        <w:jc w:val="both"/>
        <w:rPr>
          <w:rFonts w:ascii="Arial" w:eastAsia="Arial" w:hAnsi="Arial" w:cs="Arial"/>
          <w:bCs/>
          <w:spacing w:val="-1"/>
          <w:sz w:val="24"/>
          <w:szCs w:val="24"/>
        </w:rPr>
      </w:pPr>
      <w:r w:rsidRPr="00D30254">
        <w:rPr>
          <w:rFonts w:ascii="Arial" w:eastAsia="Arial" w:hAnsi="Arial" w:cs="Arial"/>
          <w:bCs/>
          <w:spacing w:val="-1"/>
          <w:sz w:val="24"/>
          <w:szCs w:val="24"/>
        </w:rPr>
        <w:t>4.1) Anche queste doglianze sono prive di ogni fondamento.</w:t>
      </w:r>
    </w:p>
    <w:p w14:paraId="6BFF32D6" w14:textId="77777777" w:rsidR="00D30254" w:rsidRPr="00D30254" w:rsidRDefault="00D30254" w:rsidP="00D30254">
      <w:pPr>
        <w:ind w:left="112"/>
        <w:jc w:val="both"/>
        <w:rPr>
          <w:rFonts w:ascii="Arial" w:eastAsia="Arial" w:hAnsi="Arial" w:cs="Arial"/>
          <w:bCs/>
          <w:spacing w:val="-1"/>
          <w:sz w:val="24"/>
          <w:szCs w:val="24"/>
        </w:rPr>
      </w:pPr>
    </w:p>
    <w:p w14:paraId="384E3893" w14:textId="77777777" w:rsidR="00D30254" w:rsidRPr="00D30254" w:rsidRDefault="00D30254" w:rsidP="00D30254">
      <w:pPr>
        <w:ind w:left="112"/>
        <w:jc w:val="both"/>
        <w:rPr>
          <w:rFonts w:ascii="Arial" w:eastAsia="Arial" w:hAnsi="Arial" w:cs="Arial"/>
          <w:bCs/>
          <w:spacing w:val="-1"/>
          <w:sz w:val="24"/>
          <w:szCs w:val="24"/>
        </w:rPr>
      </w:pPr>
      <w:r w:rsidRPr="00D30254">
        <w:rPr>
          <w:rFonts w:ascii="Arial" w:eastAsia="Arial" w:hAnsi="Arial" w:cs="Arial"/>
          <w:bCs/>
          <w:spacing w:val="-1"/>
          <w:sz w:val="24"/>
          <w:szCs w:val="24"/>
        </w:rPr>
        <w:t>La motivazione della Corte d'appello, completa ed esauriente, includeva inequivocabilmente questi profili, da esaminare solo per la parte in cui non costituiscono abile ripetizione, in nuovi termini, di quanto argomentato nel primo motivo.</w:t>
      </w:r>
    </w:p>
    <w:p w14:paraId="2BDD2A8F" w14:textId="77777777" w:rsidR="00D30254" w:rsidRPr="00D30254" w:rsidRDefault="00D30254" w:rsidP="00D30254">
      <w:pPr>
        <w:ind w:left="112"/>
        <w:jc w:val="both"/>
        <w:rPr>
          <w:rFonts w:ascii="Arial" w:eastAsia="Arial" w:hAnsi="Arial" w:cs="Arial"/>
          <w:bCs/>
          <w:spacing w:val="-1"/>
          <w:sz w:val="24"/>
          <w:szCs w:val="24"/>
        </w:rPr>
      </w:pPr>
    </w:p>
    <w:p w14:paraId="5EB66A8B" w14:textId="77777777" w:rsidR="00D30254" w:rsidRPr="00D30254" w:rsidRDefault="00D30254" w:rsidP="00D30254">
      <w:pPr>
        <w:ind w:left="112"/>
        <w:jc w:val="both"/>
        <w:rPr>
          <w:rFonts w:ascii="Arial" w:eastAsia="Arial" w:hAnsi="Arial" w:cs="Arial"/>
          <w:bCs/>
          <w:spacing w:val="-1"/>
          <w:sz w:val="24"/>
          <w:szCs w:val="24"/>
        </w:rPr>
      </w:pPr>
      <w:r w:rsidRPr="00D30254">
        <w:rPr>
          <w:rFonts w:ascii="Arial" w:eastAsia="Arial" w:hAnsi="Arial" w:cs="Arial"/>
          <w:bCs/>
          <w:spacing w:val="-1"/>
          <w:sz w:val="24"/>
          <w:szCs w:val="24"/>
        </w:rPr>
        <w:t>La nullità della concessione edificatoria risaliva ad una violazione degli usi civici o della demanialità del bene ascrivibile anche alla vendita, deliberata senza tener conto dei vincoli esistenti sul bene.</w:t>
      </w:r>
    </w:p>
    <w:p w14:paraId="172231FD" w14:textId="77777777" w:rsidR="00D30254" w:rsidRPr="00D30254" w:rsidRDefault="00D30254" w:rsidP="00D30254">
      <w:pPr>
        <w:ind w:left="112"/>
        <w:jc w:val="both"/>
        <w:rPr>
          <w:rFonts w:ascii="Arial" w:eastAsia="Arial" w:hAnsi="Arial" w:cs="Arial"/>
          <w:bCs/>
          <w:spacing w:val="-1"/>
          <w:sz w:val="24"/>
          <w:szCs w:val="24"/>
        </w:rPr>
      </w:pPr>
    </w:p>
    <w:p w14:paraId="15E46212" w14:textId="77777777" w:rsidR="00D30254" w:rsidRPr="00D30254" w:rsidRDefault="00D30254" w:rsidP="00D30254">
      <w:pPr>
        <w:ind w:left="112"/>
        <w:jc w:val="both"/>
        <w:rPr>
          <w:rFonts w:ascii="Arial" w:eastAsia="Arial" w:hAnsi="Arial" w:cs="Arial"/>
          <w:bCs/>
          <w:spacing w:val="-1"/>
          <w:sz w:val="24"/>
          <w:szCs w:val="24"/>
        </w:rPr>
      </w:pPr>
      <w:r w:rsidRPr="00D30254">
        <w:rPr>
          <w:rFonts w:ascii="Arial" w:eastAsia="Arial" w:hAnsi="Arial" w:cs="Arial"/>
          <w:bCs/>
          <w:spacing w:val="-1"/>
          <w:sz w:val="24"/>
          <w:szCs w:val="24"/>
        </w:rPr>
        <w:t xml:space="preserve">La Corte ha chiaramente illustrato il </w:t>
      </w:r>
      <w:proofErr w:type="spellStart"/>
      <w:r w:rsidRPr="00D30254">
        <w:rPr>
          <w:rFonts w:ascii="Arial" w:eastAsia="Arial" w:hAnsi="Arial" w:cs="Arial"/>
          <w:bCs/>
          <w:spacing w:val="-1"/>
          <w:sz w:val="24"/>
          <w:szCs w:val="24"/>
        </w:rPr>
        <w:t>perchè</w:t>
      </w:r>
      <w:proofErr w:type="spellEnd"/>
      <w:r w:rsidRPr="00D30254">
        <w:rPr>
          <w:rFonts w:ascii="Arial" w:eastAsia="Arial" w:hAnsi="Arial" w:cs="Arial"/>
          <w:bCs/>
          <w:spacing w:val="-1"/>
          <w:sz w:val="24"/>
          <w:szCs w:val="24"/>
        </w:rPr>
        <w:t xml:space="preserve"> (sentenza pag. 6) la vendita dei beni costituisce pregiudizio che l'annullamento della concessione edilizia (quella in relazione alla quale erano state rilasciate le autorizzazioni che il ricorso invoca) non invalida e che rimaneva pericolo incombente, da eliminare, nella circolazione di beni gravati da usi civici o facenti parte del demanio civico.</w:t>
      </w:r>
    </w:p>
    <w:p w14:paraId="759317FD" w14:textId="77777777" w:rsidR="00D30254" w:rsidRPr="00D30254" w:rsidRDefault="00D30254" w:rsidP="00D30254">
      <w:pPr>
        <w:ind w:left="112"/>
        <w:jc w:val="both"/>
        <w:rPr>
          <w:rFonts w:ascii="Arial" w:eastAsia="Arial" w:hAnsi="Arial" w:cs="Arial"/>
          <w:bCs/>
          <w:spacing w:val="-1"/>
          <w:sz w:val="24"/>
          <w:szCs w:val="24"/>
        </w:rPr>
      </w:pPr>
    </w:p>
    <w:p w14:paraId="270C41BE" w14:textId="77777777" w:rsidR="00D30254" w:rsidRPr="00D30254" w:rsidRDefault="00D30254" w:rsidP="00D30254">
      <w:pPr>
        <w:ind w:left="112"/>
        <w:jc w:val="both"/>
        <w:rPr>
          <w:rFonts w:ascii="Arial" w:eastAsia="Arial" w:hAnsi="Arial" w:cs="Arial"/>
          <w:bCs/>
          <w:spacing w:val="-1"/>
          <w:sz w:val="24"/>
          <w:szCs w:val="24"/>
        </w:rPr>
      </w:pPr>
      <w:r w:rsidRPr="00D30254">
        <w:rPr>
          <w:rFonts w:ascii="Arial" w:eastAsia="Arial" w:hAnsi="Arial" w:cs="Arial"/>
          <w:bCs/>
          <w:spacing w:val="-1"/>
          <w:sz w:val="24"/>
          <w:szCs w:val="24"/>
        </w:rPr>
        <w:t xml:space="preserve">Ha inoltre correttamente spiegato, rispondendo alle ulteriori sollecitazioni di parte appellante, che le possibilità offerte da normativa sopravvenuta in relazione a futuri atti amministrativi sono irrilevanti, </w:t>
      </w:r>
      <w:proofErr w:type="spellStart"/>
      <w:r w:rsidRPr="00D30254">
        <w:rPr>
          <w:rFonts w:ascii="Arial" w:eastAsia="Arial" w:hAnsi="Arial" w:cs="Arial"/>
          <w:bCs/>
          <w:spacing w:val="-1"/>
          <w:sz w:val="24"/>
          <w:szCs w:val="24"/>
        </w:rPr>
        <w:t>giacchè</w:t>
      </w:r>
      <w:proofErr w:type="spellEnd"/>
      <w:r w:rsidRPr="00D30254">
        <w:rPr>
          <w:rFonts w:ascii="Arial" w:eastAsia="Arial" w:hAnsi="Arial" w:cs="Arial"/>
          <w:bCs/>
          <w:spacing w:val="-1"/>
          <w:sz w:val="24"/>
          <w:szCs w:val="24"/>
        </w:rPr>
        <w:t xml:space="preserve"> le nuove normative potranno essere valutate solo se e quando saranno applicate ai fini derogatori della commerciabilità dei beni richiesti dall'Enel.</w:t>
      </w:r>
    </w:p>
    <w:p w14:paraId="1C42E12E" w14:textId="77777777" w:rsidR="00D30254" w:rsidRPr="00D30254" w:rsidRDefault="00D30254" w:rsidP="00D30254">
      <w:pPr>
        <w:ind w:left="112"/>
        <w:jc w:val="both"/>
        <w:rPr>
          <w:rFonts w:ascii="Arial" w:eastAsia="Arial" w:hAnsi="Arial" w:cs="Arial"/>
          <w:bCs/>
          <w:spacing w:val="-1"/>
          <w:sz w:val="24"/>
          <w:szCs w:val="24"/>
        </w:rPr>
      </w:pPr>
    </w:p>
    <w:p w14:paraId="4CC55C4E" w14:textId="77777777" w:rsidR="00D30254" w:rsidRPr="00D30254" w:rsidRDefault="00D30254" w:rsidP="00D30254">
      <w:pPr>
        <w:ind w:left="112"/>
        <w:jc w:val="both"/>
        <w:rPr>
          <w:rFonts w:ascii="Arial" w:eastAsia="Arial" w:hAnsi="Arial" w:cs="Arial"/>
          <w:bCs/>
          <w:spacing w:val="-1"/>
          <w:sz w:val="24"/>
          <w:szCs w:val="24"/>
        </w:rPr>
      </w:pPr>
      <w:r w:rsidRPr="00D30254">
        <w:rPr>
          <w:rFonts w:ascii="Arial" w:eastAsia="Arial" w:hAnsi="Arial" w:cs="Arial"/>
          <w:bCs/>
          <w:spacing w:val="-1"/>
          <w:sz w:val="24"/>
          <w:szCs w:val="24"/>
        </w:rPr>
        <w:t xml:space="preserve">Ciò implicitamente esclude che esse possano rilevare per gli atti già ritenuti illegittimi in relazione alla normativa esistente all'epoca della deliberazione di concessione di costruire il manufatto e del prodromico atto di vendita annullato dalla Corte di appello per i motivi </w:t>
      </w:r>
      <w:proofErr w:type="spellStart"/>
      <w:r w:rsidRPr="00D30254">
        <w:rPr>
          <w:rFonts w:ascii="Arial" w:eastAsia="Arial" w:hAnsi="Arial" w:cs="Arial"/>
          <w:bCs/>
          <w:spacing w:val="-1"/>
          <w:sz w:val="24"/>
          <w:szCs w:val="24"/>
        </w:rPr>
        <w:t>soprariassunti</w:t>
      </w:r>
      <w:proofErr w:type="spellEnd"/>
      <w:r w:rsidRPr="00D30254">
        <w:rPr>
          <w:rFonts w:ascii="Arial" w:eastAsia="Arial" w:hAnsi="Arial" w:cs="Arial"/>
          <w:bCs/>
          <w:spacing w:val="-1"/>
          <w:sz w:val="24"/>
          <w:szCs w:val="24"/>
        </w:rPr>
        <w:t>.</w:t>
      </w:r>
    </w:p>
    <w:p w14:paraId="4A72F7D3" w14:textId="77777777" w:rsidR="00D30254" w:rsidRPr="00D30254" w:rsidRDefault="00D30254" w:rsidP="00D30254">
      <w:pPr>
        <w:ind w:left="112"/>
        <w:jc w:val="both"/>
        <w:rPr>
          <w:rFonts w:ascii="Arial" w:eastAsia="Arial" w:hAnsi="Arial" w:cs="Arial"/>
          <w:bCs/>
          <w:spacing w:val="-1"/>
          <w:sz w:val="24"/>
          <w:szCs w:val="24"/>
        </w:rPr>
      </w:pPr>
    </w:p>
    <w:p w14:paraId="379A2B2D" w14:textId="77777777" w:rsidR="00D30254" w:rsidRPr="00D30254" w:rsidRDefault="00D30254" w:rsidP="00D30254">
      <w:pPr>
        <w:ind w:left="112"/>
        <w:jc w:val="both"/>
        <w:rPr>
          <w:rFonts w:ascii="Arial" w:eastAsia="Arial" w:hAnsi="Arial" w:cs="Arial"/>
          <w:bCs/>
          <w:spacing w:val="-1"/>
          <w:sz w:val="24"/>
          <w:szCs w:val="24"/>
        </w:rPr>
      </w:pPr>
      <w:r w:rsidRPr="00D30254">
        <w:rPr>
          <w:rFonts w:ascii="Arial" w:eastAsia="Arial" w:hAnsi="Arial" w:cs="Arial"/>
          <w:bCs/>
          <w:spacing w:val="-1"/>
          <w:sz w:val="24"/>
          <w:szCs w:val="24"/>
        </w:rPr>
        <w:t>5) Da ultimo va detto che la questione di costituzionalità ribadita in sede di discussione orale dal Comitato è da disattendere, per carenza del requisito della rilevanza, atteso il rigetto del ricorso.</w:t>
      </w:r>
    </w:p>
    <w:p w14:paraId="307728CD" w14:textId="77777777" w:rsidR="00D30254" w:rsidRPr="00D30254" w:rsidRDefault="00D30254" w:rsidP="00D30254">
      <w:pPr>
        <w:ind w:left="112"/>
        <w:jc w:val="both"/>
        <w:rPr>
          <w:rFonts w:ascii="Arial" w:eastAsia="Arial" w:hAnsi="Arial" w:cs="Arial"/>
          <w:bCs/>
          <w:spacing w:val="-1"/>
          <w:sz w:val="24"/>
          <w:szCs w:val="24"/>
        </w:rPr>
      </w:pPr>
    </w:p>
    <w:p w14:paraId="666516F0" w14:textId="77777777" w:rsidR="00D30254" w:rsidRPr="00D30254" w:rsidRDefault="00D30254" w:rsidP="00D30254">
      <w:pPr>
        <w:ind w:left="112"/>
        <w:jc w:val="both"/>
        <w:rPr>
          <w:rFonts w:ascii="Arial" w:eastAsia="Arial" w:hAnsi="Arial" w:cs="Arial"/>
          <w:bCs/>
          <w:spacing w:val="-1"/>
          <w:sz w:val="24"/>
          <w:szCs w:val="24"/>
        </w:rPr>
      </w:pPr>
      <w:r w:rsidRPr="00D30254">
        <w:rPr>
          <w:rFonts w:ascii="Arial" w:eastAsia="Arial" w:hAnsi="Arial" w:cs="Arial"/>
          <w:bCs/>
          <w:spacing w:val="-1"/>
          <w:sz w:val="24"/>
          <w:szCs w:val="24"/>
        </w:rPr>
        <w:t>Nuove appaiono le deduzioni svolte in memoria da parte resistente, che invoca declaratorie basate su accertamenti di fatto preclusi al giudice di legittimità.</w:t>
      </w:r>
    </w:p>
    <w:p w14:paraId="4F2DE68E" w14:textId="77777777" w:rsidR="00D30254" w:rsidRPr="00D30254" w:rsidRDefault="00D30254" w:rsidP="00D30254">
      <w:pPr>
        <w:ind w:left="112"/>
        <w:jc w:val="both"/>
        <w:rPr>
          <w:rFonts w:ascii="Arial" w:eastAsia="Arial" w:hAnsi="Arial" w:cs="Arial"/>
          <w:bCs/>
          <w:spacing w:val="-1"/>
          <w:sz w:val="24"/>
          <w:szCs w:val="24"/>
        </w:rPr>
      </w:pPr>
    </w:p>
    <w:p w14:paraId="2EF2A89C" w14:textId="77777777" w:rsidR="00D30254" w:rsidRPr="00D30254" w:rsidRDefault="00D30254" w:rsidP="00D30254">
      <w:pPr>
        <w:ind w:left="112"/>
        <w:jc w:val="both"/>
        <w:rPr>
          <w:rFonts w:ascii="Arial" w:eastAsia="Arial" w:hAnsi="Arial" w:cs="Arial"/>
          <w:bCs/>
          <w:spacing w:val="-1"/>
          <w:sz w:val="24"/>
          <w:szCs w:val="24"/>
        </w:rPr>
      </w:pPr>
      <w:r w:rsidRPr="00D30254">
        <w:rPr>
          <w:rFonts w:ascii="Arial" w:eastAsia="Arial" w:hAnsi="Arial" w:cs="Arial"/>
          <w:bCs/>
          <w:spacing w:val="-1"/>
          <w:sz w:val="24"/>
          <w:szCs w:val="24"/>
        </w:rPr>
        <w:t>Discende da quanto esposto il rigetto del ricorso e la condanna alla refusione delle spese di lite, liquidate in dispositivo, in relazione al valore della controversia.</w:t>
      </w:r>
    </w:p>
    <w:p w14:paraId="2E3B260A" w14:textId="77777777" w:rsidR="00D30254" w:rsidRPr="00D30254" w:rsidRDefault="00D30254" w:rsidP="00D30254">
      <w:pPr>
        <w:ind w:left="112"/>
        <w:jc w:val="both"/>
        <w:rPr>
          <w:rFonts w:ascii="Arial" w:eastAsia="Arial" w:hAnsi="Arial" w:cs="Arial"/>
          <w:bCs/>
          <w:spacing w:val="-1"/>
          <w:sz w:val="24"/>
          <w:szCs w:val="24"/>
        </w:rPr>
      </w:pPr>
    </w:p>
    <w:p w14:paraId="2E2F1E68" w14:textId="77777777" w:rsidR="00D30254" w:rsidRPr="00D30254" w:rsidRDefault="00D30254" w:rsidP="00D30254">
      <w:pPr>
        <w:ind w:left="112"/>
        <w:jc w:val="both"/>
        <w:rPr>
          <w:rFonts w:ascii="Arial" w:eastAsia="Arial" w:hAnsi="Arial" w:cs="Arial"/>
          <w:bCs/>
          <w:spacing w:val="-1"/>
          <w:sz w:val="24"/>
          <w:szCs w:val="24"/>
        </w:rPr>
      </w:pPr>
      <w:r w:rsidRPr="00D30254">
        <w:rPr>
          <w:rFonts w:ascii="Arial" w:eastAsia="Arial" w:hAnsi="Arial" w:cs="Arial"/>
          <w:bCs/>
          <w:spacing w:val="-1"/>
          <w:sz w:val="24"/>
          <w:szCs w:val="24"/>
        </w:rPr>
        <w:t>P.Q.M.</w:t>
      </w:r>
    </w:p>
    <w:p w14:paraId="60AE4E47" w14:textId="77777777" w:rsidR="00D30254" w:rsidRPr="00D30254" w:rsidRDefault="00D30254" w:rsidP="00D30254">
      <w:pPr>
        <w:ind w:left="112"/>
        <w:jc w:val="both"/>
        <w:rPr>
          <w:rFonts w:ascii="Arial" w:eastAsia="Arial" w:hAnsi="Arial" w:cs="Arial"/>
          <w:bCs/>
          <w:spacing w:val="-1"/>
          <w:sz w:val="24"/>
          <w:szCs w:val="24"/>
        </w:rPr>
      </w:pPr>
    </w:p>
    <w:p w14:paraId="19FDD31C" w14:textId="77777777" w:rsidR="00D30254" w:rsidRPr="00D30254" w:rsidRDefault="00D30254" w:rsidP="00D30254">
      <w:pPr>
        <w:ind w:left="112"/>
        <w:jc w:val="both"/>
        <w:rPr>
          <w:rFonts w:ascii="Arial" w:eastAsia="Arial" w:hAnsi="Arial" w:cs="Arial"/>
          <w:bCs/>
          <w:spacing w:val="-1"/>
          <w:sz w:val="24"/>
          <w:szCs w:val="24"/>
        </w:rPr>
      </w:pPr>
      <w:r w:rsidRPr="00D30254">
        <w:rPr>
          <w:rFonts w:ascii="Arial" w:eastAsia="Arial" w:hAnsi="Arial" w:cs="Arial"/>
          <w:bCs/>
          <w:spacing w:val="-1"/>
          <w:sz w:val="24"/>
          <w:szCs w:val="24"/>
        </w:rPr>
        <w:t>La Corte rigetta il ricorso.</w:t>
      </w:r>
    </w:p>
    <w:p w14:paraId="3998A06E" w14:textId="77777777" w:rsidR="00D30254" w:rsidRPr="00D30254" w:rsidRDefault="00D30254" w:rsidP="00D30254">
      <w:pPr>
        <w:ind w:left="112"/>
        <w:jc w:val="both"/>
        <w:rPr>
          <w:rFonts w:ascii="Arial" w:eastAsia="Arial" w:hAnsi="Arial" w:cs="Arial"/>
          <w:bCs/>
          <w:spacing w:val="-1"/>
          <w:sz w:val="24"/>
          <w:szCs w:val="24"/>
        </w:rPr>
      </w:pPr>
    </w:p>
    <w:p w14:paraId="2F4F6BD6" w14:textId="77777777" w:rsidR="00D30254" w:rsidRPr="00D30254" w:rsidRDefault="00D30254" w:rsidP="00D30254">
      <w:pPr>
        <w:ind w:left="112"/>
        <w:jc w:val="both"/>
        <w:rPr>
          <w:rFonts w:ascii="Arial" w:eastAsia="Arial" w:hAnsi="Arial" w:cs="Arial"/>
          <w:bCs/>
          <w:spacing w:val="-1"/>
          <w:sz w:val="24"/>
          <w:szCs w:val="24"/>
        </w:rPr>
      </w:pPr>
      <w:r w:rsidRPr="00D30254">
        <w:rPr>
          <w:rFonts w:ascii="Arial" w:eastAsia="Arial" w:hAnsi="Arial" w:cs="Arial"/>
          <w:bCs/>
          <w:spacing w:val="-1"/>
          <w:sz w:val="24"/>
          <w:szCs w:val="24"/>
        </w:rPr>
        <w:t>Condanna parte ricorrente alla refusione a controparte delle spese di lite liquidate in Euro 4.000 per compenso, Euro 200 per esborsi, oltre accessori di legge.</w:t>
      </w:r>
    </w:p>
    <w:p w14:paraId="14E8BC59" w14:textId="77777777" w:rsidR="00D30254" w:rsidRPr="00D30254" w:rsidRDefault="00D30254" w:rsidP="00D30254">
      <w:pPr>
        <w:ind w:left="112"/>
        <w:jc w:val="both"/>
        <w:rPr>
          <w:rFonts w:ascii="Arial" w:eastAsia="Arial" w:hAnsi="Arial" w:cs="Arial"/>
          <w:bCs/>
          <w:spacing w:val="-1"/>
          <w:sz w:val="24"/>
          <w:szCs w:val="24"/>
        </w:rPr>
      </w:pPr>
    </w:p>
    <w:p w14:paraId="3F8E605F" w14:textId="77777777" w:rsidR="00D30254" w:rsidRPr="00D30254" w:rsidRDefault="00D30254" w:rsidP="00D30254">
      <w:pPr>
        <w:ind w:left="112"/>
        <w:jc w:val="both"/>
        <w:rPr>
          <w:rFonts w:ascii="Arial" w:eastAsia="Arial" w:hAnsi="Arial" w:cs="Arial"/>
          <w:bCs/>
          <w:spacing w:val="-1"/>
          <w:sz w:val="24"/>
          <w:szCs w:val="24"/>
        </w:rPr>
      </w:pPr>
      <w:r w:rsidRPr="00D30254">
        <w:rPr>
          <w:rFonts w:ascii="Arial" w:eastAsia="Arial" w:hAnsi="Arial" w:cs="Arial"/>
          <w:bCs/>
          <w:spacing w:val="-1"/>
          <w:sz w:val="24"/>
          <w:szCs w:val="24"/>
        </w:rPr>
        <w:t>Così deciso in Roma, nella Camera di consiglio della Sezione Seconda Civile, il 22 ottobre 2013.</w:t>
      </w:r>
    </w:p>
    <w:p w14:paraId="541405A3" w14:textId="77777777" w:rsidR="00D30254" w:rsidRPr="00D30254" w:rsidRDefault="00D30254" w:rsidP="00D30254">
      <w:pPr>
        <w:ind w:left="112"/>
        <w:jc w:val="both"/>
        <w:rPr>
          <w:rFonts w:ascii="Arial" w:eastAsia="Arial" w:hAnsi="Arial" w:cs="Arial"/>
          <w:bCs/>
          <w:spacing w:val="-1"/>
          <w:sz w:val="24"/>
          <w:szCs w:val="24"/>
        </w:rPr>
      </w:pPr>
    </w:p>
    <w:p w14:paraId="1F2911FD" w14:textId="77777777" w:rsidR="00D30254" w:rsidRPr="00D30254" w:rsidRDefault="00D30254" w:rsidP="00D30254">
      <w:pPr>
        <w:ind w:left="112"/>
        <w:jc w:val="both"/>
        <w:rPr>
          <w:rFonts w:ascii="Arial" w:eastAsia="Arial" w:hAnsi="Arial" w:cs="Arial"/>
          <w:bCs/>
          <w:spacing w:val="-1"/>
          <w:sz w:val="24"/>
          <w:szCs w:val="24"/>
        </w:rPr>
      </w:pPr>
      <w:r w:rsidRPr="00D30254">
        <w:rPr>
          <w:rFonts w:ascii="Arial" w:eastAsia="Arial" w:hAnsi="Arial" w:cs="Arial"/>
          <w:bCs/>
          <w:spacing w:val="-1"/>
          <w:sz w:val="24"/>
          <w:szCs w:val="24"/>
        </w:rPr>
        <w:t>Depositato in Cancelleria il 16 gennaio 2014</w:t>
      </w:r>
    </w:p>
    <w:p w14:paraId="05A3CD3D" w14:textId="77777777" w:rsidR="00A10011" w:rsidRPr="00D30254" w:rsidRDefault="00A10011">
      <w:pPr>
        <w:ind w:left="112"/>
        <w:jc w:val="both"/>
        <w:rPr>
          <w:rFonts w:ascii="Arial" w:eastAsia="Arial" w:hAnsi="Arial" w:cs="Arial"/>
          <w:bCs/>
          <w:spacing w:val="-1"/>
          <w:sz w:val="24"/>
          <w:szCs w:val="24"/>
        </w:rPr>
      </w:pPr>
    </w:p>
    <w:p w14:paraId="780544B8" w14:textId="77777777" w:rsidR="000177FD" w:rsidRDefault="000177FD">
      <w:pPr>
        <w:ind w:left="167"/>
        <w:rPr>
          <w:rFonts w:ascii="Arial" w:eastAsia="Arial" w:hAnsi="Arial" w:cs="Arial"/>
          <w:sz w:val="20"/>
          <w:szCs w:val="20"/>
        </w:rPr>
      </w:pPr>
    </w:p>
    <w:sectPr w:rsidR="000177FD">
      <w:headerReference w:type="even" r:id="rId8"/>
      <w:headerReference w:type="default" r:id="rId9"/>
      <w:footerReference w:type="even" r:id="rId10"/>
      <w:footerReference w:type="default" r:id="rId11"/>
      <w:headerReference w:type="first" r:id="rId12"/>
      <w:footerReference w:type="first" r:id="rId13"/>
      <w:pgSz w:w="11900" w:h="16840"/>
      <w:pgMar w:top="640" w:right="1680" w:bottom="280" w:left="10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587BE1" w14:textId="77777777" w:rsidR="006608F7" w:rsidRDefault="006608F7" w:rsidP="00205012">
      <w:r>
        <w:separator/>
      </w:r>
    </w:p>
  </w:endnote>
  <w:endnote w:type="continuationSeparator" w:id="0">
    <w:p w14:paraId="730CCB47" w14:textId="77777777" w:rsidR="006608F7" w:rsidRDefault="006608F7" w:rsidP="00205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179DA" w14:textId="77777777" w:rsidR="006608F7" w:rsidRDefault="006608F7">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7C04E" w14:textId="77777777" w:rsidR="006608F7" w:rsidRDefault="006608F7" w:rsidP="00F57832">
    <w:pPr>
      <w:spacing w:before="74"/>
      <w:ind w:left="112" w:right="1611"/>
      <w:rPr>
        <w:rFonts w:ascii="Arial" w:eastAsia="Arial" w:hAnsi="Arial" w:cs="Arial"/>
        <w:sz w:val="20"/>
        <w:szCs w:val="20"/>
      </w:rPr>
    </w:pPr>
    <w:r>
      <w:rPr>
        <w:rFonts w:ascii="Arial"/>
        <w:color w:val="548CD3"/>
        <w:spacing w:val="-1"/>
        <w:sz w:val="20"/>
      </w:rPr>
      <w:t>usicivici.wordpress.com</w:t>
    </w:r>
  </w:p>
  <w:p w14:paraId="190941C9" w14:textId="77777777" w:rsidR="006608F7" w:rsidRDefault="006608F7" w:rsidP="00F57832">
    <w:pPr>
      <w:ind w:left="112" w:right="1611"/>
      <w:rPr>
        <w:rFonts w:ascii="Arial" w:eastAsia="Arial" w:hAnsi="Arial" w:cs="Arial"/>
        <w:sz w:val="20"/>
        <w:szCs w:val="20"/>
      </w:rPr>
    </w:pPr>
    <w:r>
      <w:rPr>
        <w:rFonts w:ascii="Arial"/>
        <w:color w:val="548CD3"/>
        <w:sz w:val="20"/>
      </w:rPr>
      <w:t>(c)</w:t>
    </w:r>
    <w:r>
      <w:rPr>
        <w:rFonts w:ascii="Arial"/>
        <w:color w:val="548CD3"/>
        <w:spacing w:val="-6"/>
        <w:sz w:val="20"/>
      </w:rPr>
      <w:t xml:space="preserve"> </w:t>
    </w:r>
    <w:r>
      <w:rPr>
        <w:rFonts w:ascii="Arial"/>
        <w:color w:val="548CD3"/>
        <w:spacing w:val="-1"/>
        <w:sz w:val="20"/>
      </w:rPr>
      <w:t>Raffaele</w:t>
    </w:r>
    <w:r>
      <w:rPr>
        <w:rFonts w:ascii="Arial"/>
        <w:color w:val="548CD3"/>
        <w:spacing w:val="-7"/>
        <w:sz w:val="20"/>
      </w:rPr>
      <w:t xml:space="preserve"> </w:t>
    </w:r>
    <w:r>
      <w:rPr>
        <w:rFonts w:ascii="Arial"/>
        <w:color w:val="548CD3"/>
        <w:sz w:val="20"/>
      </w:rPr>
      <w:t>Volante.</w:t>
    </w:r>
    <w:r>
      <w:rPr>
        <w:rFonts w:ascii="Arial"/>
        <w:color w:val="548CD3"/>
        <w:spacing w:val="-6"/>
        <w:sz w:val="20"/>
      </w:rPr>
      <w:t xml:space="preserve"> </w:t>
    </w:r>
    <w:r>
      <w:rPr>
        <w:rFonts w:ascii="Arial"/>
        <w:color w:val="548CD3"/>
        <w:sz w:val="20"/>
      </w:rPr>
      <w:t>Tutti</w:t>
    </w:r>
    <w:r>
      <w:rPr>
        <w:rFonts w:ascii="Arial"/>
        <w:color w:val="548CD3"/>
        <w:spacing w:val="-5"/>
        <w:sz w:val="20"/>
      </w:rPr>
      <w:t xml:space="preserve"> </w:t>
    </w:r>
    <w:r>
      <w:rPr>
        <w:rFonts w:ascii="Arial"/>
        <w:color w:val="548CD3"/>
        <w:sz w:val="20"/>
      </w:rPr>
      <w:t>i</w:t>
    </w:r>
    <w:r>
      <w:rPr>
        <w:rFonts w:ascii="Arial"/>
        <w:color w:val="548CD3"/>
        <w:spacing w:val="-4"/>
        <w:sz w:val="20"/>
      </w:rPr>
      <w:t xml:space="preserve"> </w:t>
    </w:r>
    <w:r>
      <w:rPr>
        <w:rFonts w:ascii="Arial"/>
        <w:color w:val="548CD3"/>
        <w:spacing w:val="-1"/>
        <w:sz w:val="20"/>
      </w:rPr>
      <w:t>diritti</w:t>
    </w:r>
    <w:r>
      <w:rPr>
        <w:rFonts w:ascii="Arial"/>
        <w:color w:val="548CD3"/>
        <w:spacing w:val="-8"/>
        <w:sz w:val="20"/>
      </w:rPr>
      <w:t xml:space="preserve"> </w:t>
    </w:r>
    <w:r>
      <w:rPr>
        <w:rFonts w:ascii="Arial"/>
        <w:color w:val="548CD3"/>
        <w:sz w:val="20"/>
      </w:rPr>
      <w:t>riservati.</w:t>
    </w:r>
  </w:p>
  <w:p w14:paraId="132D8082" w14:textId="77777777" w:rsidR="006608F7" w:rsidRDefault="006608F7">
    <w:pPr>
      <w:pStyle w:val="Pidipagina"/>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76726" w14:textId="77777777" w:rsidR="006608F7" w:rsidRDefault="006608F7">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2A4372" w14:textId="77777777" w:rsidR="006608F7" w:rsidRDefault="006608F7" w:rsidP="00205012">
      <w:r>
        <w:separator/>
      </w:r>
    </w:p>
  </w:footnote>
  <w:footnote w:type="continuationSeparator" w:id="0">
    <w:p w14:paraId="633D367D" w14:textId="77777777" w:rsidR="006608F7" w:rsidRDefault="006608F7" w:rsidP="0020501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8E9E7" w14:textId="77777777" w:rsidR="006608F7" w:rsidRDefault="006608F7">
    <w:pPr>
      <w:pStyle w:val="Intestazion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FA884" w14:textId="77777777" w:rsidR="006608F7" w:rsidRDefault="006608F7" w:rsidP="005F3DFF">
    <w:pPr>
      <w:spacing w:before="63"/>
      <w:ind w:left="112"/>
      <w:rPr>
        <w:rFonts w:ascii="Arial" w:eastAsia="Arial" w:hAnsi="Arial" w:cs="Arial"/>
        <w:sz w:val="20"/>
        <w:szCs w:val="20"/>
      </w:rPr>
    </w:pPr>
    <w:r>
      <w:rPr>
        <w:rFonts w:ascii="Arial" w:hAnsi="Arial"/>
        <w:b/>
        <w:color w:val="548CD3"/>
        <w:spacing w:val="-1"/>
        <w:sz w:val="20"/>
      </w:rPr>
      <w:t>usicivici.</w:t>
    </w:r>
    <w:r>
      <w:rPr>
        <w:rFonts w:ascii="Arial" w:hAnsi="Arial"/>
        <w:b/>
        <w:color w:val="548CD3"/>
        <w:spacing w:val="-9"/>
        <w:sz w:val="20"/>
      </w:rPr>
      <w:t xml:space="preserve"> </w:t>
    </w:r>
    <w:r>
      <w:rPr>
        <w:rFonts w:ascii="Arial" w:hAnsi="Arial"/>
        <w:b/>
        <w:color w:val="548CD3"/>
        <w:sz w:val="20"/>
      </w:rPr>
      <w:t>beni</w:t>
    </w:r>
    <w:r>
      <w:rPr>
        <w:rFonts w:ascii="Arial" w:hAnsi="Arial"/>
        <w:b/>
        <w:color w:val="548CD3"/>
        <w:spacing w:val="-9"/>
        <w:sz w:val="20"/>
      </w:rPr>
      <w:t xml:space="preserve"> </w:t>
    </w:r>
    <w:r>
      <w:rPr>
        <w:rFonts w:ascii="Arial" w:hAnsi="Arial"/>
        <w:b/>
        <w:color w:val="548CD3"/>
        <w:spacing w:val="-1"/>
        <w:sz w:val="20"/>
      </w:rPr>
      <w:t>comuni,</w:t>
    </w:r>
    <w:r>
      <w:rPr>
        <w:rFonts w:ascii="Arial" w:hAnsi="Arial"/>
        <w:b/>
        <w:color w:val="548CD3"/>
        <w:spacing w:val="-9"/>
        <w:sz w:val="20"/>
      </w:rPr>
      <w:t xml:space="preserve"> </w:t>
    </w:r>
    <w:r>
      <w:rPr>
        <w:rFonts w:ascii="Arial" w:hAnsi="Arial"/>
        <w:b/>
        <w:color w:val="548CD3"/>
        <w:sz w:val="20"/>
      </w:rPr>
      <w:t>proprietà</w:t>
    </w:r>
    <w:r>
      <w:rPr>
        <w:rFonts w:ascii="Arial" w:hAnsi="Arial"/>
        <w:b/>
        <w:color w:val="548CD3"/>
        <w:spacing w:val="-8"/>
        <w:sz w:val="20"/>
      </w:rPr>
      <w:t xml:space="preserve"> </w:t>
    </w:r>
    <w:r>
      <w:rPr>
        <w:rFonts w:ascii="Arial" w:hAnsi="Arial"/>
        <w:b/>
        <w:color w:val="548CD3"/>
        <w:sz w:val="20"/>
      </w:rPr>
      <w:t>collettive</w:t>
    </w:r>
    <w:r>
      <w:rPr>
        <w:rFonts w:ascii="Arial" w:hAnsi="Arial"/>
        <w:b/>
        <w:color w:val="548CD3"/>
        <w:spacing w:val="-9"/>
        <w:sz w:val="20"/>
      </w:rPr>
      <w:t xml:space="preserve"> </w:t>
    </w:r>
    <w:r>
      <w:rPr>
        <w:rFonts w:ascii="Arial" w:hAnsi="Arial"/>
        <w:b/>
        <w:color w:val="548CD3"/>
        <w:sz w:val="20"/>
      </w:rPr>
      <w:t>e</w:t>
    </w:r>
    <w:r>
      <w:rPr>
        <w:rFonts w:ascii="Arial" w:hAnsi="Arial"/>
        <w:b/>
        <w:color w:val="548CD3"/>
        <w:spacing w:val="-9"/>
        <w:sz w:val="20"/>
      </w:rPr>
      <w:t xml:space="preserve"> </w:t>
    </w:r>
    <w:r>
      <w:rPr>
        <w:rFonts w:ascii="Arial" w:hAnsi="Arial"/>
        <w:b/>
        <w:color w:val="548CD3"/>
        <w:sz w:val="20"/>
      </w:rPr>
      <w:t>diritto</w:t>
    </w:r>
    <w:r>
      <w:rPr>
        <w:rFonts w:ascii="Arial" w:hAnsi="Arial"/>
        <w:b/>
        <w:color w:val="548CD3"/>
        <w:spacing w:val="-8"/>
        <w:sz w:val="20"/>
      </w:rPr>
      <w:t xml:space="preserve"> </w:t>
    </w:r>
    <w:r>
      <w:rPr>
        <w:rFonts w:ascii="Arial" w:hAnsi="Arial"/>
        <w:b/>
        <w:color w:val="548CD3"/>
        <w:spacing w:val="-1"/>
        <w:sz w:val="20"/>
      </w:rPr>
      <w:t>demaniale</w:t>
    </w:r>
  </w:p>
  <w:p w14:paraId="2BE0C2BF" w14:textId="77777777" w:rsidR="006608F7" w:rsidRDefault="006608F7">
    <w:pPr>
      <w:pStyle w:val="Intestazion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2BFC4" w14:textId="77777777" w:rsidR="006608F7" w:rsidRDefault="006608F7">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254"/>
    <w:rsid w:val="000177FD"/>
    <w:rsid w:val="00205012"/>
    <w:rsid w:val="00416C0F"/>
    <w:rsid w:val="004B0341"/>
    <w:rsid w:val="00551EA9"/>
    <w:rsid w:val="005F3DFF"/>
    <w:rsid w:val="006012C5"/>
    <w:rsid w:val="006608F7"/>
    <w:rsid w:val="00A10011"/>
    <w:rsid w:val="00A37B6D"/>
    <w:rsid w:val="00A52649"/>
    <w:rsid w:val="00D30254"/>
    <w:rsid w:val="00F5783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D06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lang w:val="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ltesto">
    <w:name w:val="Body Text"/>
    <w:basedOn w:val="Normale"/>
    <w:uiPriority w:val="1"/>
    <w:qFormat/>
    <w:pPr>
      <w:ind w:left="112"/>
    </w:pPr>
    <w:rPr>
      <w:rFonts w:ascii="Arial" w:eastAsia="Arial" w:hAnsi="Arial"/>
    </w:rPr>
  </w:style>
  <w:style w:type="paragraph" w:customStyle="1" w:styleId="Heading1">
    <w:name w:val="Heading 1"/>
    <w:basedOn w:val="Normale"/>
    <w:uiPriority w:val="1"/>
    <w:qFormat/>
    <w:pPr>
      <w:ind w:left="112"/>
      <w:outlineLvl w:val="1"/>
    </w:pPr>
    <w:rPr>
      <w:rFonts w:ascii="Arial" w:eastAsia="Arial" w:hAnsi="Arial"/>
      <w:b/>
      <w:bCs/>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205012"/>
    <w:pPr>
      <w:tabs>
        <w:tab w:val="center" w:pos="4819"/>
        <w:tab w:val="right" w:pos="9638"/>
      </w:tabs>
    </w:pPr>
  </w:style>
  <w:style w:type="character" w:customStyle="1" w:styleId="IntestazioneCarattere">
    <w:name w:val="Intestazione Carattere"/>
    <w:basedOn w:val="Caratterepredefinitoparagrafo"/>
    <w:link w:val="Intestazione"/>
    <w:uiPriority w:val="99"/>
    <w:rsid w:val="00205012"/>
  </w:style>
  <w:style w:type="paragraph" w:styleId="Pidipagina">
    <w:name w:val="footer"/>
    <w:basedOn w:val="Normale"/>
    <w:link w:val="PidipaginaCarattere"/>
    <w:uiPriority w:val="99"/>
    <w:unhideWhenUsed/>
    <w:rsid w:val="00205012"/>
    <w:pPr>
      <w:tabs>
        <w:tab w:val="center" w:pos="4819"/>
        <w:tab w:val="right" w:pos="9638"/>
      </w:tabs>
    </w:pPr>
  </w:style>
  <w:style w:type="character" w:customStyle="1" w:styleId="PidipaginaCarattere">
    <w:name w:val="Piè di pagina Carattere"/>
    <w:basedOn w:val="Caratterepredefinitoparagrafo"/>
    <w:link w:val="Pidipagina"/>
    <w:uiPriority w:val="99"/>
    <w:rsid w:val="0020501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lang w:val="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ltesto">
    <w:name w:val="Body Text"/>
    <w:basedOn w:val="Normale"/>
    <w:uiPriority w:val="1"/>
    <w:qFormat/>
    <w:pPr>
      <w:ind w:left="112"/>
    </w:pPr>
    <w:rPr>
      <w:rFonts w:ascii="Arial" w:eastAsia="Arial" w:hAnsi="Arial"/>
    </w:rPr>
  </w:style>
  <w:style w:type="paragraph" w:customStyle="1" w:styleId="Heading1">
    <w:name w:val="Heading 1"/>
    <w:basedOn w:val="Normale"/>
    <w:uiPriority w:val="1"/>
    <w:qFormat/>
    <w:pPr>
      <w:ind w:left="112"/>
      <w:outlineLvl w:val="1"/>
    </w:pPr>
    <w:rPr>
      <w:rFonts w:ascii="Arial" w:eastAsia="Arial" w:hAnsi="Arial"/>
      <w:b/>
      <w:bCs/>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205012"/>
    <w:pPr>
      <w:tabs>
        <w:tab w:val="center" w:pos="4819"/>
        <w:tab w:val="right" w:pos="9638"/>
      </w:tabs>
    </w:pPr>
  </w:style>
  <w:style w:type="character" w:customStyle="1" w:styleId="IntestazioneCarattere">
    <w:name w:val="Intestazione Carattere"/>
    <w:basedOn w:val="Caratterepredefinitoparagrafo"/>
    <w:link w:val="Intestazione"/>
    <w:uiPriority w:val="99"/>
    <w:rsid w:val="00205012"/>
  </w:style>
  <w:style w:type="paragraph" w:styleId="Pidipagina">
    <w:name w:val="footer"/>
    <w:basedOn w:val="Normale"/>
    <w:link w:val="PidipaginaCarattere"/>
    <w:uiPriority w:val="99"/>
    <w:unhideWhenUsed/>
    <w:rsid w:val="00205012"/>
    <w:pPr>
      <w:tabs>
        <w:tab w:val="center" w:pos="4819"/>
        <w:tab w:val="right" w:pos="9638"/>
      </w:tabs>
    </w:pPr>
  </w:style>
  <w:style w:type="character" w:customStyle="1" w:styleId="PidipaginaCarattere">
    <w:name w:val="Piè di pagina Carattere"/>
    <w:basedOn w:val="Caratterepredefinitoparagrafo"/>
    <w:link w:val="Pidipagina"/>
    <w:uiPriority w:val="99"/>
    <w:rsid w:val="00205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raffaelevolante:Library:Application%20Support:Microsoft:Office:Modelli%20utente:Modelli%20personali:Blog%20giurisprudenz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D0904-FC75-6243-9631-581B1965B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Blog giurisprudenza.dotx</Template>
  <TotalTime>4</TotalTime>
  <Pages>4</Pages>
  <Words>1342</Words>
  <Characters>7651</Characters>
  <Application>Microsoft Macintosh Word</Application>
  <DocSecurity>0</DocSecurity>
  <Lines>63</Lines>
  <Paragraphs>17</Paragraphs>
  <ScaleCrop>false</ScaleCrop>
  <Company>Avv. Prof. Raffaele Volante</Company>
  <LinksUpToDate>false</LinksUpToDate>
  <CharactersWithSpaces>8976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Valle di Aosta l.r. 22 aprile 1985 n. 16. Attribuzione funzioni in materia di usi civici</dc:title>
  <dc:creator>Raffaele Volante</dc:creator>
  <cp:lastModifiedBy>Raffaele Volante</cp:lastModifiedBy>
  <cp:revision>2</cp:revision>
  <dcterms:created xsi:type="dcterms:W3CDTF">2014-02-15T20:53:00Z</dcterms:created>
  <dcterms:modified xsi:type="dcterms:W3CDTF">2014-02-15T21:33:00Z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2013-09-10T00:00:00Z</vt:filetime>
  </property>
  <property fmtid="{D5CDD505-2E9C-101B-9397-08002B2CF9AE}" pid="3" name="LastSaved">
    <vt:filetime>2013-10-26T00:00:00Z</vt:filetime>
  </property>
</Properties>
</file>